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as-earnings-predictions--2026-07-15"/>
    <w:p>
      <w:pPr>
        <w:pStyle w:val="Heading1"/>
      </w:pPr>
      <w:r>
        <w:t xml:space="preserve">CTAS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(FQ4'26)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~$1.24 vs. cons $1.22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(FQ4'26)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~$2.88B vs. cons $2.87B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(FQ4'26)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~7.6% vs. cons ~7.7%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Initial FY2027 revenue guide (standalone, ex-UniFirst)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~$12.05B vs. cons $12.20B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Initial FY2027 adjusted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~$5.35 vs. cons $5.42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UniFirst deal timeline / integration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close 2H CY26 vs. cons 2H CY26 (FY2027); ~$375M synergies, minimal color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Fire segment ERP/SAP margin headwind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~100 bps drag vs. cons ~50-100 bps (FY2027 Fire segment)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Q4 likely a modest beat on EPS/margins, but the print is a guidance-and-deal event: initial FY27 guide comes in standalone (ex-UniFirst) and conservative per Cintas's pattern, landing below a street that partly embeds the deal, plus a ~100bps Fire ERP margin drag and paused buyback. After an ~9% run into the print (stock up from ~</w:t>
            </w:r>
            <m:oMath>
              <m:r>
                <m:t>169</m:t>
              </m:r>
              <m:r>
                <m:t>l</m:t>
              </m:r>
              <m:r>
                <m:t>a</m:t>
              </m:r>
              <m:r>
                <m:t>t</m:t>
              </m:r>
              <m:r>
                <m:t>e</m:t>
              </m:r>
              <m:r>
                <m:t>J</m:t>
              </m:r>
              <m:r>
                <m:t>u</m:t>
              </m:r>
              <m:r>
                <m:t>n</m:t>
              </m:r>
              <m:r>
                <m:t>e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184), expectations are elevated, so a conservative FY27 frame caps the reaction. Out-period math (implicit forward cuts on the below-street guide) pulls estimates down even after the beat, so early softness drifts further negative before stabilizing.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2026-07-15T00:31:06Z</dcterms:created>
  <dcterms:modified xsi:type="dcterms:W3CDTF">2026-07-15T00:31:06Z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