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CTAS (Cintas) before writing the preview. Let me gather recent filings, transcripts, news, and price data.Let me read the most recent Q3 earnings materials and the prior Q4 (year-ago) release for context.I have rich Q3 detail. Now let me get the year-ago Q4 numbers (for the comp), recent stock prices, and any recent news on CTAS/UniFirst.Let me get recent news and the UniFirst deal terms for context.I have enough to write a thorough preview. Let me quickly confirm the deal synergy figure.Let me pull Q1 and Q2 FY26 actuals to derive the implied Q4 setup.I now have everything I need. Here's the earnings preview.</w:t>
      </w:r>
    </w:p>
    <w:p>
      <w:r>
        <w:pict>
          <v:rect style="width:0;height:1.5pt" o:hralign="center" o:hrstd="t" o:hr="t"/>
        </w:pict>
      </w:r>
    </w:p>
    <w:bookmarkStart w:id="17" w:name="cintas-ctas--fq426-earnings-preview"/>
    <w:p>
      <w:pPr>
        <w:pStyle w:val="Heading1"/>
      </w:pPr>
      <w:r>
        <w:t xml:space="preserve">Cintas (CTAS) — FQ4'26 Earnings Preview</w:t>
      </w:r>
    </w:p>
    <w:bookmarkStart w:id="9" w:name="X75154c0197004c781ea2f6f788dd679bcd9deff"/>
    <w:p>
      <w:pPr>
        <w:pStyle w:val="Heading3"/>
      </w:pPr>
      <w:r>
        <w:t xml:space="preserve">Reports Wednesday, July 15, 2026 (before market open) · Fiscal Q4 ended May 31, 2026 · Call 10:00am ET</w: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Cintas closes out fiscal 2026 having beaten-and-raised guidance in each of the first three quarters. Q4 is the "prove it" quarter against the toughest comp of the year, and — more importantly — it's the print where management typically issues</w:t>
      </w:r>
      <w:r>
        <w:t xml:space="preserve"> </w:t>
      </w:r>
      <w:r>
        <w:rPr>
          <w:b/>
          <w:bCs/>
        </w:rPr>
        <w:t xml:space="preserve">initial FY2027 guidance</w:t>
      </w:r>
      <w:r>
        <w:t xml:space="preserve">, which this year is complicated by the pending</w:t>
      </w:r>
      <w:r>
        <w:t xml:space="preserve"> </w:t>
      </w:r>
      <w:r>
        <w:rPr>
          <w:b/>
          <w:bCs/>
        </w:rPr>
        <w:t xml:space="preserve">$5.5B UniFirst acquisition</w:t>
      </w:r>
      <w:r>
        <w:t xml:space="preserve">. Expect the forward guide and deal/integration commentary to matter more to the stock than the Q4 beat itself.</w:t>
      </w:r>
    </w:p>
    <w:p>
      <w:r>
        <w:pict>
          <v:rect style="width:0;height:1.5pt" o:hralign="center" o:hrstd="t" o:hr="t"/>
        </w:pict>
      </w:r>
    </w:p>
    <w:bookmarkEnd w:id="10"/>
    <w:bookmarkStart w:id="11" w:name="X7762e2a90296ce94d9ecf1ea4c6d05aa4244d43"/>
    <w:p>
      <w:pPr>
        <w:pStyle w:val="Heading2"/>
      </w:pPr>
      <w:r>
        <w:t xml:space="preserve">What the quarter needs to show (the implied Q4 bar)</w:t>
      </w:r>
    </w:p>
    <w:p>
      <w:pPr>
        <w:pStyle w:val="FirstParagraph"/>
      </w:pPr>
      <w:r>
        <w:t xml:space="preserve">Management raised full-year guidance at Q3 (March 25) to</w:t>
      </w:r>
      <w:r>
        <w:t xml:space="preserve"> </w:t>
      </w:r>
      <w:r>
        <w:rPr>
          <w:b/>
          <w:bCs/>
        </w:rPr>
        <w:t xml:space="preserve">revenue of</w:t>
      </w:r>
      <w:r>
        <w:rPr>
          <w:b/>
          <w:bCs/>
        </w:rPr>
        <w:t xml:space="preserve"> </w:t>
      </w:r>
      <m:oMath>
        <m:r>
          <m:t>11.21</m:t>
        </m:r>
        <m:r>
          <m:rPr>
            <m:sty m:val="p"/>
          </m:rPr>
          <m:t>–</m:t>
        </m:r>
      </m:oMath>
      <w:r>
        <w:rPr>
          <w:b/>
          <w:bCs/>
        </w:rPr>
        <w:t xml:space="preserve">11.24B</w:t>
      </w:r>
      <w:r>
        <w:t xml:space="preserve"> </w:t>
      </w:r>
      <w:r>
        <w:t xml:space="preserve">(+8.4%–8.7%) and</w:t>
      </w:r>
      <w:r>
        <w:t xml:space="preserve"> </w:t>
      </w:r>
      <w:r>
        <w:rPr>
          <w:b/>
          <w:bCs/>
        </w:rPr>
        <w:t xml:space="preserve">adjusted diluted EPS of</w:t>
      </w:r>
      <w:r>
        <w:rPr>
          <w:b/>
          <w:bCs/>
        </w:rPr>
        <w:t xml:space="preserve"> </w:t>
      </w:r>
      <m:oMath>
        <m:r>
          <m:t>4.86</m:t>
        </m:r>
        <m:r>
          <m:rPr>
            <m:sty m:val="p"/>
          </m:rPr>
          <m:t>–</m:t>
        </m:r>
      </m:oMath>
      <w:r>
        <w:rPr>
          <w:b/>
          <w:bCs/>
        </w:rPr>
        <w:t xml:space="preserve">4.90</w:t>
      </w:r>
      <w:r>
        <w:t xml:space="preserve"> </w:t>
      </w:r>
      <w:r>
        <w:t xml:space="preserve">(+10.5%–11.4%), where "adjusted" excludes UniFirst deal costs. Backing out the first nine months implies the following Q4 targets: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FQ4'26 implied (from guide)</w:t>
            </w:r>
          </w:p>
        </w:tc>
        <w:tc>
          <w:tcPr/>
          <w:p>
            <w:pPr>
              <w:pStyle w:val="Compact"/>
            </w:pPr>
            <w:r>
              <w:t xml:space="preserve">FQ4'25 actual (comp)</w:t>
            </w:r>
          </w:p>
        </w:tc>
        <w:tc>
          <w:tcPr/>
          <w:p>
            <w:pPr>
              <w:pStyle w:val="Compact"/>
            </w:pPr>
            <w:r>
              <w:t xml:space="preserve">Implied Y/Y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~</w:t>
            </w:r>
            <m:oMath>
              <m:r>
                <m:t>2.86</m:t>
              </m:r>
              <m:r>
                <m:rPr>
                  <m:sty m:val="p"/>
                </m:rPr>
                <m:t>–</m:t>
              </m:r>
            </m:oMath>
            <w:r>
              <w:t xml:space="preserve">2.89B</w:t>
            </w:r>
          </w:p>
        </w:tc>
        <w:tc>
          <w:tcPr/>
          <w:p>
            <w:pPr>
              <w:pStyle w:val="Compact"/>
            </w:pPr>
            <w:r>
              <w:t xml:space="preserve">$2.668B</w:t>
            </w:r>
          </w:p>
        </w:tc>
        <w:tc>
          <w:tcPr/>
          <w:p>
            <w:pPr>
              <w:pStyle w:val="Compact"/>
            </w:pPr>
            <w:r>
              <w:t xml:space="preserve">~+7–8%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growth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~7.6%</w:t>
            </w:r>
            <w:r>
              <w:t xml:space="preserve"> </w:t>
            </w:r>
            <w:r>
              <w:t xml:space="preserve">(per mgmt)</w:t>
            </w:r>
          </w:p>
        </w:tc>
        <w:tc>
          <w:tcPr/>
          <w:p>
            <w:pPr>
              <w:pStyle w:val="Compact"/>
            </w:pPr>
            <w:r>
              <w:t xml:space="preserve">9.0%</w:t>
            </w:r>
          </w:p>
        </w:tc>
        <w:tc>
          <w:tcPr/>
          <w:p>
            <w:pPr>
              <w:pStyle w:val="Compact"/>
            </w:pPr>
            <w:r>
              <w:t xml:space="preserve">decel vs. comp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Adj. diluted EPS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</w:t>
            </w:r>
            <m:oMath>
              <m:r>
                <m:t>1.21</m:t>
              </m:r>
              <m:r>
                <m:rPr>
                  <m:sty m:val="p"/>
                </m:rPr>
                <m:t>–</m:t>
              </m:r>
            </m:oMath>
            <w:r>
              <w:rPr>
                <w:b/>
                <w:bCs/>
              </w:rPr>
              <w:t xml:space="preserve">1.25</w:t>
            </w:r>
          </w:p>
        </w:tc>
        <w:tc>
          <w:tcPr/>
          <w:p>
            <w:pPr>
              <w:pStyle w:val="Compact"/>
            </w:pPr>
            <w:r>
              <w:t xml:space="preserve">$1.09</w:t>
            </w:r>
          </w:p>
        </w:tc>
        <w:tc>
          <w:tcPr/>
          <w:p>
            <w:pPr>
              <w:pStyle w:val="Compact"/>
            </w:pPr>
            <w:r>
              <w:t xml:space="preserve">~+11–15%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UniFirst transaction costs</w:t>
            </w:r>
          </w:p>
        </w:tc>
        <w:tc>
          <w:tcPr/>
          <w:p>
            <w:pPr>
              <w:pStyle w:val="Compact"/>
            </w:pPr>
            <m:oMath>
              <m:r>
                <m:t>0.03</m:t>
              </m:r>
              <m:r>
                <m:rPr>
                  <m:sty m:val="p"/>
                </m:rPr>
                <m:t>–</m:t>
              </m:r>
            </m:oMath>
            <w:r>
              <w:t xml:space="preserve">0.04 (new separate line)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</w:tr>
    </w:tbl>
    <w:p>
      <w:pPr>
        <w:pStyle w:val="BodyText"/>
      </w:pPr>
      <w:r>
        <w:rPr>
          <w:b/>
          <w:bCs/>
        </w:rPr>
        <w:t xml:space="preserve">Key comp warning management flagged:</w:t>
      </w:r>
      <w:r>
        <w:t xml:space="preserve"> </w:t>
      </w:r>
      <w:r>
        <w:t xml:space="preserve">FQ4'25 was Cintas's strongest organic quarter of last year (9.0%), boosted by a one-time spike in</w:t>
      </w:r>
      <w:r>
        <w:t xml:space="preserve"> </w:t>
      </w:r>
      <w:r>
        <w:rPr>
          <w:b/>
          <w:bCs/>
        </w:rPr>
        <w:t xml:space="preserve">First Aid AED training (18.5% organic)</w:t>
      </w:r>
      <w:r>
        <w:t xml:space="preserve"> </w:t>
      </w:r>
      <w:r>
        <w:t xml:space="preserve">and a lumpy-strong</w:t>
      </w:r>
      <w:r>
        <w:t xml:space="preserve"> </w:t>
      </w:r>
      <w:r>
        <w:rPr>
          <w:b/>
          <w:bCs/>
        </w:rPr>
        <w:t xml:space="preserve">Uniform Direct Sale</w:t>
      </w:r>
      <w:r>
        <w:t xml:space="preserve"> </w:t>
      </w:r>
      <w:r>
        <w:t xml:space="preserve">quarter — neither of which is expected to repeat. So a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headline organic rate in Q4 is by design, not deterioration. Also note Q4 carries a</w:t>
      </w:r>
      <w:r>
        <w:t xml:space="preserve"> </w:t>
      </w:r>
      <m:oMath>
        <m:r>
          <m:t>0.03</m:t>
        </m:r>
        <m:r>
          <m:rPr>
            <m:sty m:val="p"/>
          </m:rPr>
          <m:t>–</m:t>
        </m:r>
      </m:oMath>
      <w:r>
        <w:rPr>
          <w:b/>
          <w:bCs/>
        </w:rPr>
        <w:t xml:space="preserve">0.04 EPS drag from UniFirst transaction costs</w:t>
      </w:r>
      <w:r>
        <w:t xml:space="preserve">, now broken out on a separate income-statement line, so GAAP EPS (~</w:t>
      </w:r>
      <m:oMath>
        <m:r>
          <m:t>1.17</m:t>
        </m:r>
        <m:r>
          <m:rPr>
            <m:sty m:val="p"/>
          </m:rPr>
          <m:t>–</m:t>
        </m:r>
      </m:oMath>
      <w:r>
        <w:t xml:space="preserve">1.22) will look optically softer than adjusted.</w:t>
      </w:r>
    </w:p>
    <w:p>
      <w:pPr>
        <w:pStyle w:val="BodyText"/>
      </w:pPr>
      <w:r>
        <w:rPr>
          <w:b/>
          <w:bCs/>
        </w:rPr>
        <w:t xml:space="preserve">FY26 full-year context:</w:t>
      </w:r>
      <w:r>
        <w:t xml:space="preserve"> </w:t>
      </w:r>
      <w:r>
        <w:t xml:space="preserve">vs. FY25's $10.34B revenue / $4.40 EPS, the FY26 guide implies ~8.5% revenue growth and ~11% adjusted EPS growth. Given Cintas raised the guide three straight quarters (initial July 2025 guide was</w:t>
      </w:r>
      <w:r>
        <w:t xml:space="preserve"> </w:t>
      </w:r>
      <m:oMath>
        <m:r>
          <m:t>11.00</m:t>
        </m:r>
        <m:r>
          <m:rPr>
            <m:sty m:val="p"/>
          </m:rPr>
          <m:t>–</m:t>
        </m:r>
      </m:oMath>
      <w:r>
        <w:t xml:space="preserve">11.15B /</w:t>
      </w:r>
      <w:r>
        <w:t xml:space="preserve"> </w:t>
      </w:r>
      <m:oMath>
        <m:r>
          <m:t>4.71</m:t>
        </m:r>
        <m:r>
          <m:rPr>
            <m:sty m:val="p"/>
          </m:rPr>
          <m:t>–</m:t>
        </m:r>
      </m:oMath>
      <w:r>
        <w:t xml:space="preserve">4.85), a modest final beat is the base case; the debate is whether the beat is large enough to matter given the stock's derating.</w:t>
      </w:r>
    </w:p>
    <w:p>
      <w:r>
        <w:pict>
          <v:rect style="width:0;height:1.5pt" o:hralign="center" o:hrstd="t" o:hr="t"/>
        </w:pict>
      </w:r>
    </w:p>
    <w:bookmarkEnd w:id="11"/>
    <w:bookmarkStart w:id="12" w:name="Xc1e1e70be9f58330a10f1d84df3334bb74b10fa"/>
    <w:p>
      <w:pPr>
        <w:pStyle w:val="Heading2"/>
      </w:pPr>
      <w:r>
        <w:t xml:space="preserve">The three things that actually move the stock on this print</w:t>
      </w:r>
    </w:p>
    <w:p>
      <w:pPr>
        <w:pStyle w:val="FirstParagraph"/>
      </w:pPr>
      <w:r>
        <w:rPr>
          <w:b/>
          <w:bCs/>
        </w:rPr>
        <w:t xml:space="preserve">1. Initial FY2027 guidance — and how UniFirst is (or isn't) treated.</w:t>
      </w:r>
      <w:r>
        <w:t xml:space="preserve"> </w:t>
      </w:r>
      <w:r>
        <w:t xml:space="preserve">This is the crux. Cintas normally frames the next fiscal year on the Q4 call. Two wrinkles this year: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UniFirst is expected to close in 2H calendar 2026</w:t>
      </w:r>
      <w:r>
        <w:t xml:space="preserve"> </w:t>
      </w:r>
      <w:r>
        <w:t xml:space="preserve">(i.e., mid-FY27). Watch whether the initial FY27 guide is</w:t>
      </w:r>
      <w:r>
        <w:t xml:space="preserve"> </w:t>
      </w:r>
      <w:r>
        <w:rPr>
          <w:i/>
          <w:iCs/>
        </w:rPr>
        <w:t xml:space="preserve">organic/standalone</w:t>
      </w:r>
      <w:r>
        <w:t xml:space="preserve"> </w:t>
      </w:r>
      <w:r>
        <w:t xml:space="preserve">or attempts to embed a partial-year UniFirst contribution + deal costs. Management may guide standalone and update post-close, which could create a messy "headline vs. reality" setup.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Fire ERP (SAP) headwind:</w:t>
      </w:r>
      <w:r>
        <w:t xml:space="preserve"> </w:t>
      </w:r>
      <w:r>
        <w:t xml:space="preserve">management reiterated a</w:t>
      </w:r>
      <w:r>
        <w:t xml:space="preserve"> </w:t>
      </w:r>
      <w:r>
        <w:rPr>
          <w:b/>
          <w:bCs/>
        </w:rPr>
        <w:t xml:space="preserve">~100 bps margin headwind to the Fire segment</w:t>
      </w:r>
      <w:r>
        <w:t xml:space="preserve"> </w:t>
      </w:r>
      <w:r>
        <w:t xml:space="preserve">in FY27 from the SAP rollout (less than 100 bps if not fully live by June 1). Not huge at the consolidated level, but a talking point for margin bears.</w:t>
      </w:r>
    </w:p>
    <w:p>
      <w:pPr>
        <w:pStyle w:val="FirstParagraph"/>
      </w:pPr>
      <w:r>
        <w:rPr>
          <w:b/>
          <w:bCs/>
        </w:rPr>
        <w:t xml:space="preserve">2. UniFirst deal progress.</w:t>
      </w:r>
      <w:r>
        <w:t xml:space="preserve"> </w:t>
      </w:r>
      <w:r>
        <w:t xml:space="preserve">Announced March 11, 2026:</w:t>
      </w:r>
      <w:r>
        <w:t xml:space="preserve"> </w:t>
      </w:r>
      <m:oMath>
        <m:r>
          <m:t>310.00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,</m:t>
        </m:r>
        <m:r>
          <m:t> </m:t>
        </m:r>
      </m:oMath>
      <w:r>
        <w:rPr>
          <w:b/>
          <w:bCs/>
        </w:rPr>
        <w:t xml:space="preserve">5.5B enterprise value (~8x TTM run-rate EBITDA), ~$375M of operating cost synergies over ~4 years, ~1.5x net leverage at close.</w:t>
      </w:r>
      <w:r>
        <w:t xml:space="preserve"> </w:t>
      </w:r>
      <w:r>
        <w:t xml:space="preserve">Management has explicitly said it</w:t>
      </w:r>
      <w:r>
        <w:t xml:space="preserve"> </w:t>
      </w:r>
      <w:r>
        <w:rPr>
          <w:b/>
          <w:bCs/>
        </w:rPr>
        <w:t xml:space="preserve">will not comment on the regulatory/shareholder-vote process</w:t>
      </w:r>
      <w:r>
        <w:t xml:space="preserve"> </w:t>
      </w:r>
      <w:r>
        <w:t xml:space="preserve">to avoid speculation — so don't expect much beyond "on track, closing 2H CY26." Any deviation (regulatory friction in the US/Canada, timeline slip) would be the surprise. UNF trades around $275 vs. the $310 offer, implying the market still prices meaningful deal-completion/timing risk.</w:t>
      </w:r>
    </w:p>
    <w:p>
      <w:pPr>
        <w:pStyle w:val="BodyText"/>
      </w:pPr>
      <w:r>
        <w:rPr>
          <w:b/>
          <w:bCs/>
        </w:rPr>
        <w:t xml:space="preserve">3. Buyback resumption.</w:t>
      </w:r>
      <w:r>
        <w:t xml:space="preserve"> </w:t>
      </w:r>
      <w:r>
        <w:t xml:space="preserve">Cintas was</w:t>
      </w:r>
      <w:r>
        <w:t xml:space="preserve"> </w:t>
      </w:r>
      <w:r>
        <w:rPr>
          <w:b/>
          <w:bCs/>
        </w:rPr>
        <w:t xml:space="preserve">restricted from repurchasing during Q3</w:t>
      </w:r>
      <w:r>
        <w:t xml:space="preserve"> </w:t>
      </w:r>
      <w:r>
        <w:t xml:space="preserve">(quiet period around deal negotiation) and remains restricted from signing through the UniFirst shareholder vote. It returned</w:t>
      </w:r>
      <w:r>
        <w:t xml:space="preserve"> </w:t>
      </w:r>
      <w:r>
        <w:rPr>
          <w:b/>
          <w:bCs/>
        </w:rPr>
        <w:t xml:space="preserve">$1.45B to shareholders through 9M FY26</w:t>
      </w:r>
      <w:r>
        <w:t xml:space="preserve"> </w:t>
      </w:r>
      <w:r>
        <w:t xml:space="preserve">but bought back very little recently. Commentary on when buybacks resume — and capital-allocation priorities with leverage rising to ~1.5x at close — is a swing factor for the EPS algorithm.</w:t>
      </w:r>
    </w:p>
    <w:p>
      <w:r>
        <w:pict>
          <v:rect style="width:0;height:1.5pt" o:hralign="center" o:hrstd="t" o:hr="t"/>
        </w:pict>
      </w:r>
    </w:p>
    <w:bookmarkEnd w:id="12"/>
    <w:bookmarkStart w:id="13" w:name="fundamental-trends-going-in-all-healthy"/>
    <w:p>
      <w:pPr>
        <w:pStyle w:val="Heading2"/>
      </w:pPr>
      <w:r>
        <w:t xml:space="preserve">Fundamental trends going in (all healthy)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Segment organic growth (Q3):</w:t>
      </w:r>
      <w:r>
        <w:t xml:space="preserve"> </w:t>
      </w:r>
      <w:r>
        <w:t xml:space="preserve">Uniform Rental &amp; Facility Services</w:t>
      </w:r>
      <w:r>
        <w:t xml:space="preserve"> </w:t>
      </w:r>
      <w:r>
        <w:rPr>
          <w:b/>
          <w:bCs/>
        </w:rPr>
        <w:t xml:space="preserve">+7.3%</w:t>
      </w:r>
      <w:r>
        <w:t xml:space="preserve">, First Aid &amp; Safety</w:t>
      </w:r>
      <w:r>
        <w:t xml:space="preserve"> </w:t>
      </w:r>
      <w:r>
        <w:rPr>
          <w:b/>
          <w:bCs/>
        </w:rPr>
        <w:t xml:space="preserve">+14.6%</w:t>
      </w:r>
      <w:r>
        <w:t xml:space="preserve">, Fire Protection</w:t>
      </w:r>
      <w:r>
        <w:t xml:space="preserve"> </w:t>
      </w:r>
      <w:r>
        <w:rPr>
          <w:b/>
          <w:bCs/>
        </w:rPr>
        <w:t xml:space="preserve">+10%</w:t>
      </w:r>
      <w:r>
        <w:t xml:space="preserve">, Uniform Direct Sale</w:t>
      </w:r>
      <w:r>
        <w:t xml:space="preserve"> </w:t>
      </w:r>
      <w:r>
        <w:rPr>
          <w:b/>
          <w:bCs/>
        </w:rPr>
        <w:t xml:space="preserve">+3.1%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Margins at record highs:</w:t>
      </w:r>
      <w:r>
        <w:t xml:space="preserve"> </w:t>
      </w:r>
      <w:r>
        <w:t xml:space="preserve">consolidated gross margin hit</w:t>
      </w:r>
      <w:r>
        <w:t xml:space="preserve"> </w:t>
      </w:r>
      <w:r>
        <w:rPr>
          <w:b/>
          <w:bCs/>
        </w:rPr>
        <w:t xml:space="preserve">51.0%</w:t>
      </w:r>
      <w:r>
        <w:t xml:space="preserve"> </w:t>
      </w:r>
      <w:r>
        <w:t xml:space="preserve">in Q3 (+40 bps), with all-time highs in each route-based segment (Rental 50.3%, First Aid 58.1%, Fire 50.5%). Incrementals ran ~28% (adjusted), squarely in the company's target zone. Watch whether Q4 sustains the &gt;50% gross-margin cadence.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Growth algorithm intact:</w:t>
      </w:r>
      <w:r>
        <w:t xml:space="preserve"> </w:t>
      </w:r>
      <w:r>
        <w:t xml:space="preserve">retention ~</w:t>
      </w:r>
      <w:r>
        <w:rPr>
          <w:b/>
          <w:bCs/>
        </w:rPr>
        <w:t xml:space="preserve">95%</w:t>
      </w:r>
      <w:r>
        <w:t xml:space="preserve"> </w:t>
      </w:r>
      <w:r>
        <w:t xml:space="preserve">(record), pricing</w:t>
      </w:r>
      <w:r>
        <w:t xml:space="preserve"> </w:t>
      </w:r>
      <w:r>
        <w:rPr>
          <w:b/>
          <w:bCs/>
        </w:rPr>
        <w:t xml:space="preserve">2–3%</w:t>
      </w:r>
      <w:r>
        <w:t xml:space="preserve"> </w:t>
      </w:r>
      <w:r>
        <w:t xml:space="preserve">(normalized, no longer a tailwind), and **~2/3 of new business from "no-programmers"** (first-time outsourcers) — the structural white-space story management leans on (16–20M businesses in North America; ~1M current customers; ~$10K average customer spend).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Demand resilience:</w:t>
      </w:r>
      <w:r>
        <w:t xml:space="preserve"> </w:t>
      </w:r>
      <w:r>
        <w:t xml:space="preserve">management characterizes the macro as "complex" but the customer base as resilient.</w:t>
      </w:r>
      <w:r>
        <w:t xml:space="preserve"> </w:t>
      </w:r>
      <w:r>
        <w:rPr>
          <w:b/>
          <w:bCs/>
        </w:rPr>
        <w:t xml:space="preserve">Wearer/employment levels are soft</w:t>
      </w:r>
      <w:r>
        <w:t xml:space="preserve"> </w:t>
      </w:r>
      <w:r>
        <w:t xml:space="preserve">(a watch item — soft job growth caps organic upside), but the four verticals (healthcare, hospitality, education, state &amp; local government) are holding up.</w:t>
      </w:r>
    </w:p>
    <w:bookmarkEnd w:id="13"/>
    <w:bookmarkStart w:id="14" w:name="costmargin-watch-items"/>
    <w:p>
      <w:pPr>
        <w:pStyle w:val="Heading2"/>
      </w:pPr>
      <w:r>
        <w:t xml:space="preserve">Cost/margin watch items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Fuel/energy:</w:t>
      </w:r>
      <w:r>
        <w:t xml:space="preserve"> </w:t>
      </w:r>
      <w:r>
        <w:t xml:space="preserve">~1.7% of revenue in Q3; only ~60% is vehicle fuel (~100 bps of sales). Management said a sustained ~30% fuel increase = ~30 bps of cost, already contemplated in guidance, and they run</w:t>
      </w:r>
      <w:r>
        <w:t xml:space="preserve"> </w:t>
      </w:r>
      <w:r>
        <w:rPr>
          <w:b/>
          <w:bCs/>
        </w:rPr>
        <w:t xml:space="preserve">no fuel surcharge</w:t>
      </w:r>
      <w:r>
        <w:t xml:space="preserve">. With oil volatile, this is a modest Q4 swing factor.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Tariffs:</w:t>
      </w:r>
      <w:r>
        <w:t xml:space="preserve"> </w:t>
      </w:r>
      <w:r>
        <w:t xml:space="preserve">supply chain has navigated well; management says no material near-term impact (any hit amortizes slowly through the supply chain).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SG&amp;A optics:</w:t>
      </w:r>
      <w:r>
        <w:t xml:space="preserve"> </w:t>
      </w:r>
      <w:r>
        <w:t xml:space="preserve">Q3 SG&amp;A looked elevated but was ~flat y/y ex the prior-year one-time land-sale gain; Q3 is seasonally high on payroll-tax resets. Expect normalization commentary again.</w:t>
      </w:r>
    </w:p>
    <w:p>
      <w:r>
        <w:pict>
          <v:rect style="width:0;height:1.5pt" o:hralign="center" o:hrstd="t" o:hr="t"/>
        </w:pict>
      </w:r>
    </w:p>
    <w:bookmarkEnd w:id="14"/>
    <w:bookmarkStart w:id="15" w:name="stock--valuation-context"/>
    <w:p>
      <w:pPr>
        <w:pStyle w:val="Heading2"/>
      </w:pPr>
      <w:r>
        <w:t xml:space="preserve">Stock &amp; valuation context</w:t>
      </w:r>
    </w:p>
    <w:p>
      <w:pPr>
        <w:pStyle w:val="Compact"/>
        <w:numPr>
          <w:ilvl w:val="0"/>
          <w:numId w:val="1004"/>
        </w:numPr>
      </w:pPr>
      <w:r>
        <w:t xml:space="preserve">CTAS closed</w:t>
      </w:r>
      <w:r>
        <w:t xml:space="preserve"> </w:t>
      </w:r>
      <w:r>
        <w:rPr>
          <w:b/>
          <w:bCs/>
        </w:rPr>
        <w:t xml:space="preserve">~$184</w:t>
      </w:r>
      <w:r>
        <w:t xml:space="preserve"> </w:t>
      </w:r>
      <w:r>
        <w:t xml:space="preserve">on July 14, essentially</w:t>
      </w:r>
      <w:r>
        <w:t xml:space="preserve"> </w:t>
      </w:r>
      <w:r>
        <w:rPr>
          <w:b/>
          <w:bCs/>
        </w:rPr>
        <w:t xml:space="preserve">flat YTD</w:t>
      </w:r>
      <w:r>
        <w:t xml:space="preserve"> </w:t>
      </w:r>
      <w:r>
        <w:t xml:space="preserve">(started 2026 near</w:t>
      </w:r>
      <w:r>
        <w:t xml:space="preserve"> </w:t>
      </w:r>
      <m:oMath>
        <m:r>
          <m:t>185</m:t>
        </m:r>
        <m:r>
          <m:rPr>
            <m:sty m:val="p"/>
          </m:rPr>
          <m:t>)</m:t>
        </m:r>
        <m:r>
          <m:t>b</m:t>
        </m:r>
        <m:r>
          <m:t>u</m:t>
        </m:r>
        <m:r>
          <m:t>t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10</m:t>
        </m:r>
      </m:oMath>
      <w:r>
        <w:t xml:space="preserve">205**. The stock derated after the mid-March UniFirst announcement + Q3 print (it fell from ~</w:t>
      </w:r>
      <m:oMath>
        <m:r>
          <m:t>185</m:t>
        </m:r>
        <m:r>
          <m:t>p</m:t>
        </m:r>
        <m:r>
          <m:t>r</m:t>
        </m:r>
        <m:r>
          <m:t>e</m:t>
        </m:r>
        <m:r>
          <m:rPr>
            <m:sty m:val="p"/>
          </m:rPr>
          <m:t>−</m:t>
        </m:r>
        <m:r>
          <m:t>a</m:t>
        </m:r>
        <m:r>
          <m:t>n</m:t>
        </m:r>
        <m:r>
          <m:t>n</m:t>
        </m:r>
        <m:r>
          <m:t>o</m:t>
        </m:r>
        <m:r>
          <m:t>u</m:t>
        </m:r>
        <m:r>
          <m:t>n</m:t>
        </m:r>
        <m:r>
          <m:t>c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t</m:t>
        </m:r>
        <m:r>
          <m:t>o</m:t>
        </m:r>
        <m:r>
          <m:t> </m:t>
        </m:r>
      </m:oMath>
      <w:r>
        <w:t xml:space="preserve">166 by late March) and has been range-bound</w:t>
      </w:r>
      <w:r>
        <w:t xml:space="preserve"> </w:t>
      </w:r>
      <m:oMath>
        <m:r>
          <m:t>165</m:t>
        </m:r>
        <m:r>
          <m:rPr>
            <m:sty m:val="p"/>
          </m:rPr>
          <m:t>–</m:t>
        </m:r>
      </m:oMath>
      <w:r>
        <w:rPr>
          <w:b/>
          <w:bCs/>
        </w:rPr>
        <w:t xml:space="preserve">185</w:t>
      </w:r>
      <w:r>
        <w:t xml:space="preserve"> </w:t>
      </w:r>
      <w:r>
        <w:t xml:space="preserve">since. It has firmed into the print (up from ~$169 in late June).</w:t>
      </w:r>
    </w:p>
    <w:p>
      <w:pPr>
        <w:pStyle w:val="Compact"/>
        <w:numPr>
          <w:ilvl w:val="0"/>
          <w:numId w:val="1004"/>
        </w:numPr>
      </w:pPr>
      <w:r>
        <w:t xml:space="preserve">Interpretation: the market took the UniFirst deal cautiously (dilution/integration risk, buyback pause, leverage up), which has compressed CTAS's premium multiple. That sets up a</w:t>
      </w:r>
      <w:r>
        <w:t xml:space="preserve"> </w:t>
      </w:r>
      <w:r>
        <w:rPr>
          <w:b/>
          <w:bCs/>
        </w:rPr>
        <w:t xml:space="preserve">lower-expectations bar</w:t>
      </w:r>
      <w:r>
        <w:t xml:space="preserve"> </w:t>
      </w:r>
      <w:r>
        <w:t xml:space="preserve">than usual for a Cintas print — a clean beat + confident FY27 framing could re-rate; a cautious/complicated FY27 guide could keep it capped.</w:t>
      </w:r>
    </w:p>
    <w:bookmarkEnd w:id="15"/>
    <w:bookmarkStart w:id="16" w:name="bottom-line--what-id-watch-in-order"/>
    <w:p>
      <w:pPr>
        <w:pStyle w:val="Heading2"/>
      </w:pPr>
      <w:r>
        <w:t xml:space="preserve">Bottom line — what I'd watch, in order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FY27 guide construction</w:t>
      </w:r>
      <w:r>
        <w:t xml:space="preserve"> </w:t>
      </w:r>
      <w:r>
        <w:t xml:space="preserve">(standalone vs. UniFirst-inclusive; organic growth durability; Fire ERP margin drag).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Any UniFirst timeline/regulatory color</w:t>
      </w:r>
      <w:r>
        <w:t xml:space="preserve"> </w:t>
      </w:r>
      <w:r>
        <w:t xml:space="preserve">(base case: minimal commentary, "2H CY26").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Q4 organic growth vs. the ~7.6% implied bar</w:t>
      </w:r>
      <w:r>
        <w:t xml:space="preserve"> </w:t>
      </w:r>
      <w:r>
        <w:t xml:space="preserve">given the tough First Aid/Uniform Direct comps — a beat here reassures on underlying demand despite soft employment.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Margin sustainability</w:t>
      </w:r>
      <w:r>
        <w:t xml:space="preserve"> </w:t>
      </w:r>
      <w:r>
        <w:t xml:space="preserve">(&gt;50% gross margin, ~28–30% incrementals) and</w:t>
      </w:r>
      <w:r>
        <w:t xml:space="preserve"> </w:t>
      </w:r>
      <w:r>
        <w:rPr>
          <w:b/>
          <w:bCs/>
        </w:rPr>
        <w:t xml:space="preserve">buyback resumption timing.</w:t>
      </w:r>
    </w:p>
    <w:p>
      <w:pPr>
        <w:pStyle w:val="FirstParagraph"/>
      </w:pPr>
      <w:r>
        <w:t xml:space="preserve">Net: the fundamentals point to another solid, likely beat-and-slightly-raise Q4, but this is unusually a</w:t>
      </w:r>
      <w:r>
        <w:t xml:space="preserve"> </w:t>
      </w:r>
      <w:r>
        <w:rPr>
          <w:b/>
          <w:bCs/>
        </w:rPr>
        <w:t xml:space="preserve">guidance-and-deal event more than a results event</w:t>
      </w:r>
      <w:r>
        <w:t xml:space="preserve"> </w:t>
      </w:r>
      <w:r>
        <w:t xml:space="preserve">— the FY27 outlook and UniFirst framing will set the tone.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Cintas FQ1–FQ4'25 and FQ1–FQ3'26 earnings releases and the FQ3'26 earnings call transcript; UniFirst merger announcement (March 11, 2026); market prices through July 14, 2026. Figures labeled "implied" are derived from company guidance less reported year-to-date results, not company-stated quarterly targets. This is informational analysis, not investment advice.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2026-07-15T00:31:06Z</dcterms:created>
  <dcterms:modified xsi:type="dcterms:W3CDTF">2026-07-15T00:31:06Z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