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ctas-earnings-predictions--2026-07-15"/>
    <w:p>
      <w:pPr>
        <w:pStyle w:val="Heading1"/>
      </w:pPr>
      <w:r>
        <w:t xml:space="preserve">CTAS Earnings Predictions — 2026-07-15</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CTAS</w:t>
            </w:r>
          </w:p>
        </w:tc>
        <w:tc>
          <w:tcPr/>
          <w:p>
            <w:pPr>
              <w:pStyle w:val="Compact"/>
            </w:pPr>
            <w:r>
              <w:t xml:space="preserve">Report</w:t>
            </w:r>
          </w:p>
        </w:tc>
        <w:tc>
          <w:tcPr/>
          <w:p>
            <w:pPr>
              <w:pStyle w:val="Compact"/>
            </w:pPr>
            <w:r>
              <w:t xml:space="preserve">Adjusted diluted EPS (Q4 FY26)</w:t>
            </w:r>
          </w:p>
        </w:tc>
        <w:tc>
          <w:tcPr/>
          <w:p>
            <w:pPr>
              <w:pStyle w:val="Compact"/>
            </w:pPr>
            <w:r>
              <w:t xml:space="preserve">BEAT</w:t>
            </w:r>
          </w:p>
        </w:tc>
        <w:tc>
          <w:tcPr/>
          <w:p>
            <w:pPr>
              <w:pStyle w:val="Compact"/>
            </w:pPr>
            <w:r>
              <w:t xml:space="preserve">pred ~$1.26 vs. cons $1.24</w:t>
            </w:r>
          </w:p>
        </w:tc>
        <w:tc>
          <w:tcPr/>
          <w:p>
            <w:pPr>
              <w:pStyle w:val="Compact"/>
            </w:pPr>
            <w:r>
              <w:t xml:space="preserve">MEDIUM</w:t>
            </w:r>
          </w:p>
        </w:tc>
      </w:tr>
      <w:tr>
        <w:tc>
          <w:tcPr/>
          <w:p>
            <w:pPr>
              <w:pStyle w:val="Compact"/>
            </w:pPr>
            <w:r>
              <w:t xml:space="preserve">CTAS</w:t>
            </w:r>
          </w:p>
        </w:tc>
        <w:tc>
          <w:tcPr/>
          <w:p>
            <w:pPr>
              <w:pStyle w:val="Compact"/>
            </w:pPr>
            <w:r>
              <w:t xml:space="preserve">Report</w:t>
            </w:r>
          </w:p>
        </w:tc>
        <w:tc>
          <w:tcPr/>
          <w:p>
            <w:pPr>
              <w:pStyle w:val="Compact"/>
            </w:pPr>
            <w:r>
              <w:t xml:space="preserve">Total revenue (Q4 FY26)</w:t>
            </w:r>
          </w:p>
        </w:tc>
        <w:tc>
          <w:tcPr/>
          <w:p>
            <w:pPr>
              <w:pStyle w:val="Compact"/>
            </w:pPr>
            <w:r>
              <w:t xml:space="preserve">IN-LINE</w:t>
            </w:r>
          </w:p>
        </w:tc>
        <w:tc>
          <w:tcPr/>
          <w:p>
            <w:pPr>
              <w:pStyle w:val="Compact"/>
            </w:pPr>
            <w:r>
              <w:t xml:space="preserve">pred ~$2.90B vs. cons $2.88B</w:t>
            </w:r>
          </w:p>
        </w:tc>
        <w:tc>
          <w:tcPr/>
          <w:p>
            <w:pPr>
              <w:pStyle w:val="Compact"/>
            </w:pPr>
            <w:r>
              <w:t xml:space="preserve">MEDIUM</w:t>
            </w:r>
          </w:p>
        </w:tc>
      </w:tr>
      <w:tr>
        <w:tc>
          <w:tcPr/>
          <w:p>
            <w:pPr>
              <w:pStyle w:val="Compact"/>
            </w:pPr>
            <w:r>
              <w:t xml:space="preserve">CTAS</w:t>
            </w:r>
          </w:p>
        </w:tc>
        <w:tc>
          <w:tcPr/>
          <w:p>
            <w:pPr>
              <w:pStyle w:val="Compact"/>
            </w:pPr>
            <w:r>
              <w:t xml:space="preserve">Report</w:t>
            </w:r>
          </w:p>
        </w:tc>
        <w:tc>
          <w:tcPr/>
          <w:p>
            <w:pPr>
              <w:pStyle w:val="Compact"/>
            </w:pPr>
            <w:r>
              <w:t xml:space="preserve">Total company organic growth rate (Q4 FY26)</w:t>
            </w:r>
          </w:p>
        </w:tc>
        <w:tc>
          <w:tcPr/>
          <w:p>
            <w:pPr>
              <w:pStyle w:val="Compact"/>
            </w:pPr>
            <w:r>
              <w:t xml:space="preserve">IN-LINE</w:t>
            </w:r>
          </w:p>
        </w:tc>
        <w:tc>
          <w:tcPr/>
          <w:p>
            <w:pPr>
              <w:pStyle w:val="Compact"/>
            </w:pPr>
            <w:r>
              <w:t xml:space="preserve">pred ~7.8% vs. cons 8.1%</w:t>
            </w:r>
          </w:p>
        </w:tc>
        <w:tc>
          <w:tcPr/>
          <w:p>
            <w:pPr>
              <w:pStyle w:val="Compact"/>
            </w:pPr>
            <w:r>
              <w:t xml:space="preserve">LOW</w:t>
            </w:r>
          </w:p>
        </w:tc>
      </w:tr>
      <w:tr>
        <w:tc>
          <w:tcPr/>
          <w:p>
            <w:pPr>
              <w:pStyle w:val="Compact"/>
            </w:pPr>
            <w:r>
              <w:t xml:space="preserve">CTAS</w:t>
            </w:r>
          </w:p>
        </w:tc>
        <w:tc>
          <w:tcPr/>
          <w:p>
            <w:pPr>
              <w:pStyle w:val="Compact"/>
            </w:pPr>
            <w:r>
              <w:t xml:space="preserve">Guide</w:t>
            </w:r>
          </w:p>
        </w:tc>
        <w:tc>
          <w:tcPr/>
          <w:p>
            <w:pPr>
              <w:pStyle w:val="Compact"/>
            </w:pPr>
            <w:r>
              <w:t xml:space="preserve">FY2027 initial revenue guidance (standalone, ex-UniFirst)</w:t>
            </w:r>
          </w:p>
        </w:tc>
        <w:tc>
          <w:tcPr/>
          <w:p>
            <w:pPr>
              <w:pStyle w:val="Compact"/>
            </w:pPr>
            <w:r>
              <w:t xml:space="preserve">BETTER</w:t>
            </w:r>
          </w:p>
        </w:tc>
        <w:tc>
          <w:tcPr/>
          <w:p>
            <w:pPr>
              <w:pStyle w:val="Compact"/>
            </w:pPr>
            <w:r>
              <w:t xml:space="preserve">guide ~$12.05B vs. cons $12.00B (FY2027)</w:t>
            </w:r>
          </w:p>
        </w:tc>
        <w:tc>
          <w:tcPr/>
          <w:p>
            <w:pPr>
              <w:pStyle w:val="Compact"/>
            </w:pPr>
            <w:r>
              <w:t xml:space="preserve">LOW</w:t>
            </w:r>
          </w:p>
        </w:tc>
      </w:tr>
      <w:tr>
        <w:tc>
          <w:tcPr/>
          <w:p>
            <w:pPr>
              <w:pStyle w:val="Compact"/>
            </w:pPr>
            <w:r>
              <w:t xml:space="preserve">CTAS</w:t>
            </w:r>
          </w:p>
        </w:tc>
        <w:tc>
          <w:tcPr/>
          <w:p>
            <w:pPr>
              <w:pStyle w:val="Compact"/>
            </w:pPr>
            <w:r>
              <w:t xml:space="preserve">Guide</w:t>
            </w:r>
          </w:p>
        </w:tc>
        <w:tc>
          <w:tcPr/>
          <w:p>
            <w:pPr>
              <w:pStyle w:val="Compact"/>
            </w:pPr>
            <w:r>
              <w:t xml:space="preserve">FY2027 initial adjusted EPS guidance (standalone, ex-UniFirst)</w:t>
            </w:r>
          </w:p>
        </w:tc>
        <w:tc>
          <w:tcPr/>
          <w:p>
            <w:pPr>
              <w:pStyle w:val="Compact"/>
            </w:pPr>
            <w:r>
              <w:t xml:space="preserve">BETTER</w:t>
            </w:r>
          </w:p>
        </w:tc>
        <w:tc>
          <w:tcPr/>
          <w:p>
            <w:pPr>
              <w:pStyle w:val="Compact"/>
            </w:pPr>
            <w:r>
              <w:t xml:space="preserve">guide ~$5.40 vs. cons $5.35 (FY2027)</w:t>
            </w:r>
          </w:p>
        </w:tc>
        <w:tc>
          <w:tcPr/>
          <w:p>
            <w:pPr>
              <w:pStyle w:val="Compact"/>
            </w:pPr>
            <w:r>
              <w:t xml:space="preserve">LOW</w:t>
            </w:r>
          </w:p>
        </w:tc>
      </w:tr>
      <w:tr>
        <w:tc>
          <w:tcPr/>
          <w:p>
            <w:pPr>
              <w:pStyle w:val="Compact"/>
            </w:pPr>
            <w:r>
              <w:t xml:space="preserve">CTAS</w:t>
            </w:r>
          </w:p>
        </w:tc>
        <w:tc>
          <w:tcPr/>
          <w:p>
            <w:pPr>
              <w:pStyle w:val="Compact"/>
            </w:pPr>
            <w:r>
              <w:t xml:space="preserve">Guide</w:t>
            </w:r>
          </w:p>
        </w:tc>
        <w:tc>
          <w:tcPr/>
          <w:p>
            <w:pPr>
              <w:pStyle w:val="Compact"/>
            </w:pPr>
            <w:r>
              <w:t xml:space="preserve">UniFirst deal close timeline / FTC Second Request commentary</w:t>
            </w:r>
          </w:p>
        </w:tc>
        <w:tc>
          <w:tcPr/>
          <w:p>
            <w:pPr>
              <w:pStyle w:val="Compact"/>
            </w:pPr>
            <w:r>
              <w:t xml:space="preserve">UNCHANGED</w:t>
            </w:r>
          </w:p>
        </w:tc>
        <w:tc>
          <w:tcPr/>
          <w:p>
            <w:pPr>
              <w:pStyle w:val="Compact"/>
            </w:pPr>
            <w:r>
              <w:t xml:space="preserve">guide ~2H2026 close vs. cons 2H2026 close (FY2027)</w:t>
            </w:r>
          </w:p>
        </w:tc>
        <w:tc>
          <w:tcPr/>
          <w:p>
            <w:pPr>
              <w:pStyle w:val="Compact"/>
            </w:pPr>
            <w:r>
              <w:t xml:space="preserve">LOW</w:t>
            </w:r>
          </w:p>
        </w:tc>
      </w:tr>
      <w:tr>
        <w:tc>
          <w:tcPr/>
          <w:p>
            <w:pPr>
              <w:pStyle w:val="Compact"/>
            </w:pPr>
            <w:r>
              <w:t xml:space="preserve">CTAS</w:t>
            </w:r>
          </w:p>
        </w:tc>
        <w:tc>
          <w:tcPr/>
          <w:p>
            <w:pPr>
              <w:pStyle w:val="Compact"/>
            </w:pPr>
            <w:r>
              <w:t xml:space="preserve">Return</w:t>
            </w:r>
          </w:p>
        </w:tc>
        <w:tc>
          <w:tcPr/>
          <w:p>
            <w:pPr>
              <w:pStyle w:val="Compact"/>
            </w:pPr>
            <w:r>
              <w:t xml:space="preserve">Day-1 residual (stock − beta × S&amp;P 500)</w:t>
            </w:r>
          </w:p>
        </w:tc>
        <w:tc>
          <w:tcPr/>
          <w:p>
            <w:pPr>
              <w:pStyle w:val="Compact"/>
            </w:pPr>
            <w:r>
              <w:t xml:space="preserve">+1.2%</w:t>
            </w:r>
          </w:p>
        </w:tc>
        <w:tc>
          <w:tcPr/>
          <w:p>
            <w:pPr>
              <w:pStyle w:val="Compact"/>
            </w:pPr>
            <w:r>
              <w:t xml:space="preserve">—</w:t>
            </w:r>
          </w:p>
        </w:tc>
        <w:tc>
          <w:tcPr/>
          <w:p>
            <w:pPr>
              <w:pStyle w:val="Compact"/>
            </w:pPr>
            <w:r>
              <w:t xml:space="preserve">LOW</w:t>
            </w:r>
          </w:p>
        </w:tc>
      </w:tr>
      <w:tr>
        <w:tc>
          <w:tcPr/>
          <w:p>
            <w:pPr>
              <w:pStyle w:val="Compact"/>
            </w:pPr>
            <w:r>
              <w:t xml:space="preserve">CTAS</w:t>
            </w:r>
          </w:p>
        </w:tc>
        <w:tc>
          <w:tcPr/>
          <w:p>
            <w:pPr>
              <w:pStyle w:val="Compact"/>
            </w:pPr>
            <w:r>
              <w:t xml:space="preserve">Return</w:t>
            </w:r>
          </w:p>
        </w:tc>
        <w:tc>
          <w:tcPr/>
          <w:p>
            <w:pPr>
              <w:pStyle w:val="Compact"/>
            </w:pPr>
            <w:r>
              <w:t xml:space="preserve">5-day cumulative residual</w:t>
            </w:r>
          </w:p>
        </w:tc>
        <w:tc>
          <w:tcPr/>
          <w:p>
            <w:pPr>
              <w:pStyle w:val="Compact"/>
            </w:pPr>
            <w:r>
              <w:t xml:space="preserve">-0.8% (FADE)</w:t>
            </w:r>
          </w:p>
        </w:tc>
        <w:tc>
          <w:tcPr/>
          <w:p>
            <w:pPr>
              <w:pStyle w:val="Compact"/>
            </w:pPr>
            <w:r>
              <w:t xml:space="preserve">Q4 print itself is largely de-risked (guidance-implied EPS/revenue already tightly bracketed by consensus), so any Day-1 pop from a modest EPS beat is likely to fade as investors digest the first standalone FY2027 guide, which should show organic growth decelerating further off the tough FY26 comp (management already flagged high-7% Q4 organic vs. last year's 9% peak) and continued ambiguity on UniFirst timing given the still-open FTC Second Request. Analysts are likely to trim out-year (FY27) organic growth/margin assumptions even after a Q4 beat, and the stock's recent sharp recovery into the print (+12% off the spring trough) raises 'sell-the-news' risk if no incremental positive FTC/deal color is offered, pulling the idiosyncratic return back down over the week.</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2026-07-15T00:36:50Z</dcterms:created>
  <dcterms:modified xsi:type="dcterms:W3CDTF">2026-07-15T00:36:50Z</dcterms:modified>
</cp:coreProperties>
</file>

<file path=docProps/custom.xml><?xml version="1.0" encoding="utf-8"?>
<Properties xmlns="http://schemas.openxmlformats.org/officeDocument/2006/custom-properties" xmlns:vt="http://schemas.openxmlformats.org/officeDocument/2006/docPropsVTypes"/>
</file>