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f1f030b09d14729f5ff74cfdc4fb8784b5fc3a"/>
    <w:p>
      <w:pPr>
        <w:pStyle w:val="Heading1"/>
      </w:pPr>
      <w:r>
        <w:t xml:space="preserve">Cintas Corporation (CTAS) — Q4 FY2026 Earnings Preview</w:t>
      </w:r>
    </w:p>
    <w:p>
      <w:pPr>
        <w:pStyle w:val="FirstParagraph"/>
      </w:pPr>
      <w:r>
        <w:rPr>
          <w:b/>
          <w:bCs/>
        </w:rPr>
        <w:t xml:space="preserve">Report date:</w:t>
      </w:r>
      <w:r>
        <w:t xml:space="preserve"> </w:t>
      </w:r>
      <w:r>
        <w:t xml:space="preserve">Wednesday, July 15, 2026 (before market open) |</w:t>
      </w:r>
      <w:r>
        <w:t xml:space="preserve"> </w:t>
      </w:r>
      <w:r>
        <w:rPr>
          <w:b/>
          <w:bCs/>
        </w:rPr>
        <w:t xml:space="preserve">Call time:</w:t>
      </w:r>
      <w:r>
        <w:t xml:space="preserve"> </w:t>
      </w:r>
      <w:r>
        <w:t xml:space="preserve">10:00 a.m. ET</w:t>
      </w:r>
      <w:r>
        <w:t xml:space="preserve"> </w:t>
      </w:r>
      <w:r>
        <w:rPr>
          <w:b/>
          <w:bCs/>
        </w:rPr>
        <w:t xml:space="preserve">Period covered:</w:t>
      </w:r>
      <w:r>
        <w:t xml:space="preserve"> </w:t>
      </w:r>
      <w:r>
        <w:t xml:space="preserve">Fiscal Q4 2026 (quarter ended May 31, 2026) and full fiscal year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CTAS enters this report with the stock roughly 10% below the all-time highs it set in early March 2026 (~</w:t>
      </w:r>
      <m:oMath>
        <m:r>
          <m:t>204</m:t>
        </m:r>
        <m:r>
          <m:rPr>
            <m:sty m:val="p"/>
          </m:rPr>
          <m:t>)</m:t>
        </m:r>
        <m:r>
          <m:t>b</m:t>
        </m:r>
        <m:r>
          <m:t>u</m:t>
        </m:r>
        <m:r>
          <m:t>t</m:t>
        </m:r>
        <m:r>
          <m:t>r</m:t>
        </m:r>
        <m:r>
          <m:t>e</m:t>
        </m:r>
        <m:r>
          <m:t>c</m:t>
        </m:r>
        <m:r>
          <m:t>o</m:t>
        </m:r>
        <m:r>
          <m:t>v</m:t>
        </m:r>
        <m:r>
          <m:t>e</m:t>
        </m:r>
        <m:r>
          <m:t>r</m:t>
        </m:r>
        <m:r>
          <m:t>i</m:t>
        </m:r>
        <m:r>
          <m:t>n</m:t>
        </m:r>
        <m:r>
          <m:t>g</m:t>
        </m:r>
        <m:r>
          <m:t>i</m:t>
        </m:r>
        <m:r>
          <m:t>n</m:t>
        </m:r>
        <m:r>
          <m:t>t</m:t>
        </m:r>
        <m:r>
          <m:t>o</m:t>
        </m:r>
        <m:r>
          <m:t>t</m:t>
        </m:r>
        <m:r>
          <m:t>h</m:t>
        </m:r>
        <m:r>
          <m:t>e</m:t>
        </m:r>
        <m:r>
          <m:t>p</m:t>
        </m:r>
        <m:r>
          <m:t>r</m:t>
        </m:r>
        <m:r>
          <m:t>i</m:t>
        </m:r>
        <m:r>
          <m:t>n</m:t>
        </m:r>
        <m:r>
          <m:t>t</m:t>
        </m:r>
        <m:r>
          <m:rPr>
            <m:sty m:val="p"/>
          </m:rPr>
          <m:t>,</m:t>
        </m:r>
        <m:r>
          <m:t>c</m:t>
        </m:r>
        <m:r>
          <m:t>l</m:t>
        </m:r>
        <m:r>
          <m:t>o</m:t>
        </m:r>
        <m:r>
          <m:t>s</m:t>
        </m:r>
        <m:r>
          <m:t>i</m:t>
        </m:r>
        <m:r>
          <m:t>n</m:t>
        </m:r>
        <m:r>
          <m:t>g</m:t>
        </m:r>
        <m:r>
          <m:t>a</m:t>
        </m:r>
        <m:r>
          <m:t>t</m:t>
        </m:r>
        <m:r>
          <m:rPr>
            <m:sty m:val="p"/>
          </m:rPr>
          <m:t>*</m:t>
        </m:r>
        <m:r>
          <m:rPr>
            <m:sty m:val="p"/>
          </m:rPr>
          <m:t>*</m:t>
        </m:r>
      </m:oMath>
      <w:r>
        <w:t xml:space="preserve">184.36** on July 14, up from a spring trough near $163-165. The single biggest driver of the stock's volatility over the past four months hasn't been the core business — which has been remarkably steady — but the</w:t>
      </w:r>
      <w:r>
        <w:t xml:space="preserve"> </w:t>
      </w:r>
      <w:r>
        <w:rPr>
          <w:b/>
          <w:bCs/>
        </w:rPr>
        <w:t xml:space="preserve">March 10, 2026 announcement that Cintas will acquire UniFirst Corporation for $5.5 billion</w:t>
      </w:r>
      <w:r>
        <w:t xml:space="preserve">, a deal that is still winding through antitrust review.</w:t>
      </w:r>
    </w:p>
    <w:p>
      <w:pPr>
        <w:pStyle w:val="BodyText"/>
      </w:pPr>
      <w:r>
        <w:t xml:space="preserve">Cintas has beaten consensus EPS in each of the last several quarters, and the Street is looking for another solid, if unspectacular, beat-and-raise-adjacent quarter. The real focus for investors, however, is likely to be less about the quarter's numbers (which are largely de-risked by the company's own guidance) and more about</w:t>
      </w:r>
      <w:r>
        <w:t xml:space="preserve"> </w:t>
      </w:r>
      <w:r>
        <w:rPr>
          <w:b/>
          <w:bCs/>
        </w:rPr>
        <w:t xml:space="preserve">deal timing, financing/dilution mechanics, and early color on integration and capital allocation</w:t>
      </w:r>
      <w:r>
        <w:t xml:space="preserve"> </w:t>
      </w:r>
      <w:r>
        <w:t xml:space="preserve">now that the FTC has issued a "Second Request."</w:t>
      </w:r>
    </w:p>
    <w:p>
      <w:r>
        <w:pict>
          <v:rect style="width:0;height:1.5pt" o:hralign="center" o:hrstd="t" o:hr="t"/>
        </w:pict>
      </w:r>
    </w:p>
    <w:bookmarkEnd w:id="9"/>
    <w:bookmarkStart w:id="10" w:name="Xa8676b752087181558c8b2c3586705df7d042d6"/>
    <w:p>
      <w:pPr>
        <w:pStyle w:val="Heading2"/>
      </w:pPr>
      <w:r>
        <w:t xml:space="preserve">2. What Wall Street Is Modeling</w:t>
      </w:r>
    </w:p>
    <w:p>
      <w:pPr>
        <w:pStyle w:val="FirstParagraph"/>
      </w:pPr>
      <w:r>
        <w:t xml:space="preserve">Cintas' own guidance, raised at the Q3 print in March, calls for full-year FY2026:</w:t>
      </w:r>
    </w:p>
    <w:p>
      <w:pPr>
        <w:pStyle w:val="Compact"/>
        <w:numPr>
          <w:ilvl w:val="0"/>
          <w:numId w:val="1001"/>
        </w:numPr>
      </w:pPr>
      <w:r>
        <w:rPr>
          <w:b/>
          <w:bCs/>
        </w:rPr>
        <w:t xml:space="preserve">Revenue:</w:t>
      </w:r>
      <w:r>
        <w:t xml:space="preserve"> </w:t>
      </w:r>
      <m:oMath>
        <m:r>
          <m:t>11.21</m:t>
        </m:r>
        <m:r>
          <m:rPr>
            <m:sty m:val="p"/>
          </m:rPr>
          <m:t>–</m:t>
        </m:r>
      </m:oMath>
      <w:r>
        <w:t xml:space="preserve">11.24 billion (+8.4% to +8.7% total growth)</w:t>
      </w:r>
    </w:p>
    <w:p>
      <w:pPr>
        <w:pStyle w:val="Compact"/>
        <w:numPr>
          <w:ilvl w:val="0"/>
          <w:numId w:val="1001"/>
        </w:numPr>
      </w:pPr>
      <w:r>
        <w:rPr>
          <w:b/>
          <w:bCs/>
        </w:rPr>
        <w:t xml:space="preserve">Adjusted diluted EPS:</w:t>
      </w:r>
      <w:r>
        <w:t xml:space="preserve"> </w:t>
      </w:r>
      <m:oMath>
        <m:r>
          <m:t>4.86</m:t>
        </m:r>
        <m:r>
          <m:rPr>
            <m:sty m:val="p"/>
          </m:rPr>
          <m:t>–</m:t>
        </m:r>
      </m:oMath>
      <w:r>
        <w:t xml:space="preserve">4.90 (+10.5% to +11.4%), which</w:t>
      </w:r>
      <w:r>
        <w:t xml:space="preserve"> </w:t>
      </w:r>
      <w:r>
        <w:rPr>
          <w:b/>
          <w:bCs/>
        </w:rPr>
        <w:t xml:space="preserve">excludes non-recurring UniFirst transaction costs</w:t>
      </w:r>
      <w:r>
        <w:t xml:space="preserve"> </w:t>
      </w:r>
      <w:r>
        <w:t xml:space="preserve">estimated at</w:t>
      </w:r>
      <w:r>
        <w:t xml:space="preserve"> </w:t>
      </w:r>
      <m:oMath>
        <m:r>
          <m:t>0.03</m:t>
        </m:r>
        <m:r>
          <m:rPr>
            <m:sty m:val="p"/>
          </m:rPr>
          <m:t>–</m:t>
        </m:r>
      </m:oMath>
      <w:r>
        <w:t xml:space="preserve">0.04 per share for the year</w:t>
      </w:r>
    </w:p>
    <w:p>
      <w:pPr>
        <w:pStyle w:val="FirstParagraph"/>
      </w:pPr>
      <w:r>
        <w:t xml:space="preserve">With nine months of FY2026 already in the books (revenue of $8.36 billion and diluted EPS of $3.65), the guidance range backs into an implied Q4 of roughly:</w:t>
      </w:r>
    </w:p>
    <w:p>
      <w:pPr>
        <w:pStyle w:val="Compact"/>
        <w:numPr>
          <w:ilvl w:val="0"/>
          <w:numId w:val="1002"/>
        </w:numPr>
      </w:pPr>
      <w:r>
        <w:rPr>
          <w:b/>
          <w:bCs/>
        </w:rPr>
        <w:t xml:space="preserve">Revenue:</w:t>
      </w:r>
      <w:r>
        <w:t xml:space="preserve"> </w:t>
      </w:r>
      <w:r>
        <w:t xml:space="preserve">~</w:t>
      </w:r>
      <m:oMath>
        <m:r>
          <m:t>2.85</m:t>
        </m:r>
        <m:r>
          <m:rPr>
            <m:sty m:val="p"/>
          </m:rPr>
          <m:t>–</m:t>
        </m:r>
      </m:oMath>
      <w:r>
        <w:t xml:space="preserve">2.88 billion</w:t>
      </w:r>
    </w:p>
    <w:p>
      <w:pPr>
        <w:pStyle w:val="Compact"/>
        <w:numPr>
          <w:ilvl w:val="0"/>
          <w:numId w:val="1002"/>
        </w:numPr>
      </w:pPr>
      <w:r>
        <w:rPr>
          <w:b/>
          <w:bCs/>
        </w:rPr>
        <w:t xml:space="preserve">EPS:</w:t>
      </w:r>
      <w:r>
        <w:t xml:space="preserve"> </w:t>
      </w:r>
      <w:r>
        <w:t xml:space="preserve">~</w:t>
      </w:r>
      <m:oMath>
        <m:r>
          <m:t>1.21</m:t>
        </m:r>
        <m:r>
          <m:rPr>
            <m:sty m:val="p"/>
          </m:rPr>
          <m:t>–</m:t>
        </m:r>
      </m:oMath>
      <w:r>
        <w:t xml:space="preserve">1.25</w:t>
      </w:r>
    </w:p>
    <w:p>
      <w:pPr>
        <w:pStyle w:val="FirstParagraph"/>
      </w:pPr>
      <w:r>
        <w:t xml:space="preserve">Consensus sits right in that band — analysts are modeling</w:t>
      </w:r>
      <w:r>
        <w:t xml:space="preserve"> </w:t>
      </w:r>
      <w:r>
        <w:rPr>
          <w:b/>
          <w:bCs/>
        </w:rPr>
        <w:t xml:space="preserve">Q4 EPS of ~</w:t>
      </w:r>
      <m:oMath>
        <m:r>
          <m:t>1.23</m:t>
        </m:r>
        <m:r>
          <m:rPr>
            <m:sty m:val="p"/>
          </m:rPr>
          <m:t>–</m:t>
        </m:r>
      </m:oMath>
      <w:r>
        <w:rPr>
          <w:b/>
          <w:bCs/>
        </w:rPr>
        <w:t xml:space="preserve">1.24</w:t>
      </w:r>
      <w:r>
        <w:t xml:space="preserve"> </w:t>
      </w:r>
      <w:r>
        <w:t xml:space="preserve">on</w:t>
      </w:r>
      <w:r>
        <w:t xml:space="preserve"> </w:t>
      </w:r>
      <w:r>
        <w:rPr>
          <w:b/>
          <w:bCs/>
        </w:rPr>
        <w:t xml:space="preserve">revenue of ~</w:t>
      </w:r>
      <m:oMath>
        <m:r>
          <m:t>2.87</m:t>
        </m:r>
        <m:r>
          <m:rPr>
            <m:sty m:val="p"/>
          </m:rPr>
          <m:t>–</m:t>
        </m:r>
      </m:oMath>
      <w:r>
        <w:rPr>
          <w:b/>
          <w:bCs/>
        </w:rPr>
        <w:t xml:space="preserve">2.89 billion</w:t>
      </w:r>
      <w:r>
        <w:t xml:space="preserve">, which would represent EPS growth in the mid-to-high teens versus last year's Q4 EPS of $1.09 and roughly 8% revenue growth versus last year's Q4 revenue of $2.67 billion. Management flagged on the Q3 call that the year-ago Q4 comp is tough — last year's fourth quarter was Cintas' highest organic growth quarter of FY2025 (9% organic) with one-time boosts in First Aid (AED training) and Uniform Direct Sale that are not expected to repeat, so a deceleration in the reported organic growth rate versus Q3's 8.2% would not be a surprise and has already been guided to (management pointed to an implied Q4 organic growth rate in the high-7% range).</w:t>
      </w:r>
    </w:p>
    <w:p>
      <w:pPr>
        <w:pStyle w:val="BodyText"/>
      </w:pPr>
      <w:r>
        <w:rPr>
          <w:b/>
          <w:bCs/>
        </w:rPr>
        <w:t xml:space="preserve">Key line items to watch:</w:t>
      </w:r>
    </w:p>
    <w:p>
      <w:pPr>
        <w:pStyle w:val="Compact"/>
        <w:numPr>
          <w:ilvl w:val="0"/>
          <w:numId w:val="1003"/>
        </w:numPr>
      </w:pPr>
      <w:r>
        <w:rPr>
          <w:b/>
          <w:bCs/>
        </w:rPr>
        <w:t xml:space="preserve">Gross margin:</w:t>
      </w:r>
      <w:r>
        <w:t xml:space="preserve"> </w:t>
      </w:r>
      <w:r>
        <w:t xml:space="preserve">Each of the three route-based businesses (Uniform Rental &amp; Facility Services, First Aid &amp; Safety, Fire Protection) posted all-time-high gross margins in Q3 (51.0% total gross margin, up 40 bps YoY). Whether that momentum continues into Q4 — a seasonally different, typically strong quarter — will be closely watched.</w:t>
      </w:r>
    </w:p>
    <w:p>
      <w:pPr>
        <w:pStyle w:val="Compact"/>
        <w:numPr>
          <w:ilvl w:val="0"/>
          <w:numId w:val="1003"/>
        </w:numPr>
      </w:pPr>
      <w:r>
        <w:rPr>
          <w:b/>
          <w:bCs/>
        </w:rPr>
        <w:t xml:space="preserve">Energy/fuel costs:</w:t>
      </w:r>
      <w:r>
        <w:t xml:space="preserve"> </w:t>
      </w:r>
      <w:r>
        <w:t xml:space="preserve">Management called out rising fuel prices as a modest incremental cost headwind for Q4 (fuel is roughly 100 bps of revenue), though it said this was already contemplated in guidance and would not be addressed via a fuel surcharge.</w:t>
      </w:r>
    </w:p>
    <w:p>
      <w:pPr>
        <w:pStyle w:val="Compact"/>
        <w:numPr>
          <w:ilvl w:val="0"/>
          <w:numId w:val="1003"/>
        </w:numPr>
      </w:pPr>
      <w:r>
        <w:rPr>
          <w:b/>
          <w:bCs/>
        </w:rPr>
        <w:t xml:space="preserve">SG&amp;A:</w:t>
      </w:r>
      <w:r>
        <w:t xml:space="preserve"> </w:t>
      </w:r>
      <w:r>
        <w:t xml:space="preserve">Watch for the new disclosure line item — starting in Q4, Cintas said it will break out UniFirst transaction costs separately on the income statement, which should make the underlying operating leverage story cleaner.</w:t>
      </w:r>
    </w:p>
    <w:p>
      <w:pPr>
        <w:pStyle w:val="Compact"/>
        <w:numPr>
          <w:ilvl w:val="0"/>
          <w:numId w:val="1003"/>
        </w:numPr>
      </w:pPr>
      <w:r>
        <w:rPr>
          <w:b/>
          <w:bCs/>
        </w:rPr>
        <w:t xml:space="preserve">Segment growth rates:</w:t>
      </w:r>
      <w:r>
        <w:t xml:space="preserve"> </w:t>
      </w:r>
      <w:r>
        <w:t xml:space="preserve">In Q3, organic growth was 7.3% in Uniform Rental &amp; Facility Services, 14.6% in First Aid and Safety, 10% in Fire Protection, and 3.1% in Uniform Direct Sale — the pattern of First Aid/Fire outgrowing the core rental business has been consistent and is worth tracking for continuation.</w:t>
      </w:r>
    </w:p>
    <w:p>
      <w:r>
        <w:pict>
          <v:rect style="width:0;height:1.5pt" o:hralign="center" o:hrstd="t" o:hr="t"/>
        </w:pict>
      </w:r>
    </w:p>
    <w:bookmarkEnd w:id="10"/>
    <w:bookmarkStart w:id="11" w:name="Xe9745d5b03776bb86e872c104e335d2d8766ebb"/>
    <w:p>
      <w:pPr>
        <w:pStyle w:val="Heading2"/>
      </w:pPr>
      <w:r>
        <w:t xml:space="preserve">3. The UniFirst Deal Is the Real Story</w:t>
      </w:r>
    </w:p>
    <w:p>
      <w:pPr>
        <w:pStyle w:val="FirstParagraph"/>
      </w:pPr>
      <w:r>
        <w:t xml:space="preserve">This is arguably the most important earnings call of Cintas' fiscal year, not because of the reported numbers, but because of what management says about the pending acquisition of UniFirst — the largest and most transformative deal in Cintas' history.</w:t>
      </w:r>
    </w:p>
    <w:p>
      <w:pPr>
        <w:pStyle w:val="BodyText"/>
      </w:pPr>
      <w:r>
        <w:rPr>
          <w:b/>
          <w:bCs/>
        </w:rPr>
        <w:t xml:space="preserve">Deal basics:</w:t>
      </w:r>
      <w:r>
        <w:t xml:space="preserve"> </w:t>
      </w:r>
      <w:r>
        <w:t xml:space="preserve">Cintas agreed to acquire UniFirst for</w:t>
      </w:r>
      <w:r>
        <w:t xml:space="preserve"> </w:t>
      </w:r>
      <m:oMath>
        <m:r>
          <m:t>310</m:t>
        </m:r>
        <m:r>
          <m:t>p</m:t>
        </m:r>
        <m:r>
          <m:t>e</m:t>
        </m:r>
        <m:r>
          <m:t>r</m:t>
        </m:r>
        <m:r>
          <m:t>s</m:t>
        </m:r>
        <m:r>
          <m:t>h</m:t>
        </m:r>
        <m:r>
          <m:t>a</m:t>
        </m:r>
        <m:r>
          <m:t>r</m:t>
        </m:r>
        <m:r>
          <m:t>e</m:t>
        </m:r>
        <m:r>
          <m:rPr>
            <m:sty m:val="p"/>
          </m:rPr>
          <m:t>*</m:t>
        </m:r>
        <m:r>
          <m:rPr>
            <m:sty m:val="p"/>
          </m:rPr>
          <m:t>*</m:t>
        </m:r>
        <m:r>
          <m:t>i</m:t>
        </m:r>
        <m:r>
          <m:t>n</m:t>
        </m:r>
        <m:r>
          <m:t>c</m:t>
        </m:r>
        <m:r>
          <m:t>a</m:t>
        </m:r>
        <m:r>
          <m:t>s</m:t>
        </m:r>
        <m:r>
          <m:t>h</m:t>
        </m:r>
        <m:r>
          <m:rPr>
            <m:sty m:val="p"/>
          </m:rPr>
          <m:t>−</m:t>
        </m:r>
        <m:r>
          <m:t>a</m:t>
        </m:r>
        <m:r>
          <m:t>n</m:t>
        </m:r>
        <m:r>
          <m:t>d</m:t>
        </m:r>
        <m:r>
          <m:rPr>
            <m:sty m:val="p"/>
          </m:rPr>
          <m:t>−</m:t>
        </m:r>
        <m:r>
          <m:t>s</m:t>
        </m:r>
        <m:r>
          <m:t>t</m:t>
        </m:r>
        <m:r>
          <m:t>o</m:t>
        </m:r>
        <m:r>
          <m:t>c</m:t>
        </m:r>
        <m:r>
          <m:t>k</m:t>
        </m:r>
        <m:r>
          <m:rPr>
            <m:sty m:val="p"/>
          </m:rPr>
          <m:t>(</m:t>
        </m:r>
        <m:r>
          <m:rPr>
            <m:sty m:val="p"/>
          </m:rPr>
          <m:t>*</m:t>
        </m:r>
        <m:r>
          <m:rPr>
            <m:sty m:val="p"/>
          </m:rPr>
          <m:t>*</m:t>
        </m:r>
      </m:oMath>
      <w:r>
        <w:rPr>
          <w:b/>
          <w:bCs/>
        </w:rPr>
        <w:t xml:space="preserve">155.00 cash plus 0.7720 Cintas shares</w:t>
      </w:r>
      <w:r>
        <w:t xml:space="preserve"> </w:t>
      </w:r>
      <w:r>
        <w:t xml:space="preserve">per UniFirst share), a transaction valued at roughly</w:t>
      </w:r>
      <w:r>
        <w:t xml:space="preserve"> </w:t>
      </w:r>
      <m:oMath>
        <m:r>
          <m:t>5.5</m:t>
        </m:r>
        <m:r>
          <m:t>b</m:t>
        </m:r>
        <m:r>
          <m:t>i</m:t>
        </m:r>
        <m:r>
          <m:t>l</m:t>
        </m:r>
        <m:r>
          <m:t>l</m:t>
        </m:r>
        <m:r>
          <m:t>i</m:t>
        </m:r>
        <m:r>
          <m:t>o</m:t>
        </m:r>
        <m:r>
          <m:t>n</m:t>
        </m:r>
        <m:r>
          <m:rPr>
            <m:sty m:val="p"/>
          </m:rPr>
          <m:t>*</m:t>
        </m:r>
        <m:r>
          <m:rPr>
            <m:sty m:val="p"/>
          </m:rPr>
          <m:t>*</m:t>
        </m:r>
        <m:r>
          <m:rPr>
            <m:sty m:val="p"/>
          </m:rPr>
          <m:t>,</m:t>
        </m:r>
        <m:r>
          <m:t>e</m:t>
        </m:r>
        <m:r>
          <m:t>x</m:t>
        </m:r>
        <m:r>
          <m:t>p</m:t>
        </m:r>
        <m:r>
          <m:t>e</m:t>
        </m:r>
        <m:r>
          <m:t>c</m:t>
        </m:r>
        <m:r>
          <m:t>t</m:t>
        </m:r>
        <m:r>
          <m:t>e</m:t>
        </m:r>
        <m:r>
          <m:t>d</m:t>
        </m:r>
        <m:r>
          <m:t>t</m:t>
        </m:r>
        <m:r>
          <m:t>o</m:t>
        </m:r>
        <m:r>
          <m:t>g</m:t>
        </m:r>
        <m:r>
          <m:t>e</m:t>
        </m:r>
        <m:r>
          <m:t>n</m:t>
        </m:r>
        <m:r>
          <m:t>e</m:t>
        </m:r>
        <m:r>
          <m:t>r</m:t>
        </m:r>
        <m:r>
          <m:t>a</m:t>
        </m:r>
        <m:r>
          <m:t>t</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375 million of operating cost synergies</w:t>
      </w:r>
      <w:r>
        <w:t xml:space="preserve">. Management has said leverage at closing is expected to be about</w:t>
      </w:r>
      <w:r>
        <w:t xml:space="preserve"> </w:t>
      </w:r>
      <w:r>
        <w:rPr>
          <w:b/>
          <w:bCs/>
        </w:rPr>
        <w:t xml:space="preserve">1.5x debt-to-EBITDA</w:t>
      </w:r>
      <w:r>
        <w:t xml:space="preserve">, and the deal is still expected to</w:t>
      </w:r>
      <w:r>
        <w:t xml:space="preserve"> </w:t>
      </w:r>
      <w:r>
        <w:rPr>
          <w:b/>
          <w:bCs/>
        </w:rPr>
        <w:t xml:space="preserve">close in the second half of calendar 2026</w:t>
      </w:r>
      <w:r>
        <w:t xml:space="preserve">.</w:t>
      </w:r>
    </w:p>
    <w:p>
      <w:pPr>
        <w:pStyle w:val="BodyText"/>
      </w:pPr>
      <w:r>
        <w:rPr>
          <w:b/>
          <w:bCs/>
        </w:rPr>
        <w:t xml:space="preserve">Where things stand regulatorily:</w:t>
      </w:r>
      <w:r>
        <w:t xml:space="preserve"> </w:t>
      </w:r>
      <w:r>
        <w:t xml:space="preserve">UniFirst shareholders approved the deal at a special meeting on</w:t>
      </w:r>
      <w:r>
        <w:t xml:space="preserve"> </w:t>
      </w:r>
      <w:r>
        <w:rPr>
          <w:b/>
          <w:bCs/>
        </w:rPr>
        <w:t xml:space="preserve">June 12, 2026</w:t>
      </w:r>
      <w:r>
        <w:t xml:space="preserve">, clearing one major hurdle. However, on</w:t>
      </w:r>
      <w:r>
        <w:t xml:space="preserve"> </w:t>
      </w:r>
      <w:r>
        <w:rPr>
          <w:b/>
          <w:bCs/>
        </w:rPr>
        <w:t xml:space="preserve">June 11, 2026, both companies received a "Second Request" for additional information from the FTC</w:t>
      </w:r>
      <w:r>
        <w:t xml:space="preserve">, which extends the HSR waiting period until 30 days after both companies substantially comply — a signal of deeper antitrust scrutiny of consolidation in the uniform rental industry (Cintas and UniFirst are two of the largest players). Cintas has stated it continues to work cooperatively with the FTC and still targets a second-half-2026 close, but the timeline has clearly lengthened relative to initial expectations, and analysts have flagged the extended review as a source of uncertainty and a driver of recent price target reductions.</w:t>
      </w:r>
    </w:p>
    <w:p>
      <w:pPr>
        <w:pStyle w:val="BodyText"/>
      </w:pPr>
      <w:r>
        <w:rPr>
          <w:b/>
          <w:bCs/>
        </w:rPr>
        <w:t xml:space="preserve">What to listen for on the call:</w:t>
      </w:r>
    </w:p>
    <w:p>
      <w:pPr>
        <w:pStyle w:val="Compact"/>
        <w:numPr>
          <w:ilvl w:val="0"/>
          <w:numId w:val="1004"/>
        </w:numPr>
      </w:pPr>
      <w:r>
        <w:t xml:space="preserve">Any incremental commentary on FTC engagement, potential divestitures, or timeline (management has previously said it would avoid speculating and would only "update the market as appropriate")</w:t>
      </w:r>
    </w:p>
    <w:p>
      <w:pPr>
        <w:pStyle w:val="Compact"/>
        <w:numPr>
          <w:ilvl w:val="0"/>
          <w:numId w:val="1004"/>
        </w:numPr>
      </w:pPr>
      <w:r>
        <w:t xml:space="preserve">Updated transaction-cost guidance for FY2027 and beyond</w:t>
      </w:r>
    </w:p>
    <w:p>
      <w:pPr>
        <w:pStyle w:val="Compact"/>
        <w:numPr>
          <w:ilvl w:val="0"/>
          <w:numId w:val="1004"/>
        </w:numPr>
      </w:pPr>
      <w:r>
        <w:t xml:space="preserve">Confirmation that the guidance being given (if any FY2027 framework is offered) continues to</w:t>
      </w:r>
      <w:r>
        <w:t xml:space="preserve"> </w:t>
      </w:r>
      <w:r>
        <w:rPr>
          <w:b/>
          <w:bCs/>
        </w:rPr>
        <w:t xml:space="preserve">exclude</w:t>
      </w:r>
      <w:r>
        <w:t xml:space="preserve"> </w:t>
      </w:r>
      <w:r>
        <w:t xml:space="preserve">UniFirst's contribution until the deal closes</w:t>
      </w:r>
    </w:p>
    <w:p>
      <w:pPr>
        <w:pStyle w:val="Compact"/>
        <w:numPr>
          <w:ilvl w:val="0"/>
          <w:numId w:val="1004"/>
        </w:numPr>
      </w:pPr>
      <w:r>
        <w:t xml:space="preserve">Capital allocation cadence — Cintas noted it was restricted from buybacks for part of Q3 due to the deal's quiet period/negotiation, and buybacks should be able to resume more fully now that the UniFirst shareholder vote has passed, subject to remaining deal-related restrictions until closing</w:t>
      </w:r>
    </w:p>
    <w:p>
      <w:pPr>
        <w:pStyle w:val="Compact"/>
        <w:numPr>
          <w:ilvl w:val="0"/>
          <w:numId w:val="1004"/>
        </w:numPr>
      </w:pPr>
      <w:r>
        <w:t xml:space="preserve">Integration planning, including plans to extend Cintas' SAP/ERP technology stack (already being rolled into the Fire Protection segment) to UniFirst's operations post-close</w:t>
      </w:r>
    </w:p>
    <w:p>
      <w:pPr>
        <w:pStyle w:val="FirstParagraph"/>
      </w:pPr>
      <w:r>
        <w:t xml:space="preserve">Analysts have already been recalibrating price targets around this uncertainty: Goldman Sachs cut its target to $213 (still Buy), Truist cut to $225 (Buy), and BofA trimmed to $200 (Neutral) — reflecting both deal-timeline risk and a generally "balanced" setup into the print, according to BofA's preview. The stock carries a "Moderate Buy" consensus, with the bulk of the 19 covering analysts split between Strong Buy and Hold ratings.</w:t>
      </w:r>
    </w:p>
    <w:p>
      <w:r>
        <w:pict>
          <v:rect style="width:0;height:1.5pt" o:hralign="center" o:hrstd="t" o:hr="t"/>
        </w:pict>
      </w:r>
    </w:p>
    <w:bookmarkEnd w:id="11"/>
    <w:bookmarkStart w:id="12" w:name="Xd7bdd04834fb1a9590f5ff2ffa9237505dd6980"/>
    <w:p>
      <w:pPr>
        <w:pStyle w:val="Heading2"/>
      </w:pPr>
      <w:r>
        <w:t xml:space="preserve">4. Balance Sheet, Capital Return, and Margin Watch Items</w:t>
      </w:r>
    </w:p>
    <w:p>
      <w:pPr>
        <w:pStyle w:val="Compact"/>
        <w:numPr>
          <w:ilvl w:val="0"/>
          <w:numId w:val="1005"/>
        </w:numPr>
      </w:pPr>
      <w:r>
        <w:rPr>
          <w:b/>
          <w:bCs/>
        </w:rPr>
        <w:t xml:space="preserve">Capital returned to shareholders:</w:t>
      </w:r>
      <w:r>
        <w:t xml:space="preserve"> </w:t>
      </w:r>
      <w:r>
        <w:t xml:space="preserve">Through nine months of FY2026, Cintas returned $1.45 billion via buybacks and dividends, with $933 million in buybacks and $521 million in dividends year-to-date. Watch for confirmation of full-year capital return figures and any updated framework post-UniFirst-vote.</w:t>
      </w:r>
    </w:p>
    <w:p>
      <w:pPr>
        <w:pStyle w:val="Compact"/>
        <w:numPr>
          <w:ilvl w:val="0"/>
          <w:numId w:val="1005"/>
        </w:numPr>
      </w:pPr>
      <w:r>
        <w:rPr>
          <w:b/>
          <w:bCs/>
        </w:rPr>
        <w:t xml:space="preserve">Balance sheet:</w:t>
      </w:r>
      <w:r>
        <w:t xml:space="preserve"> </w:t>
      </w:r>
      <w:r>
        <w:t xml:space="preserve">As of February 28, 2026, Cintas carried $2.66 billion in total debt against $4.79 billion of shareholders' equity, with $183 million of cash. Financing of the UniFirst deal (cash-and-stock) will be a key data point — watch for updated commercial paper/debt issuance commentary.</w:t>
      </w:r>
    </w:p>
    <w:p>
      <w:pPr>
        <w:pStyle w:val="Compact"/>
        <w:numPr>
          <w:ilvl w:val="0"/>
          <w:numId w:val="1005"/>
        </w:numPr>
      </w:pPr>
      <w:r>
        <w:rPr>
          <w:b/>
          <w:bCs/>
        </w:rPr>
        <w:t xml:space="preserve">Fire segment ERP rollout:</w:t>
      </w:r>
      <w:r>
        <w:t xml:space="preserve"> </w:t>
      </w:r>
      <w:r>
        <w:t xml:space="preserve">Management has previously flagged up to ~100 basis points of margin headwind in the Fire Protection segment tied to the SAP implementation, phased depending on rollout timing into FY2027 — an important read for margin-trajectory modeling heading into next fiscal year.</w:t>
      </w:r>
    </w:p>
    <w:p>
      <w:pPr>
        <w:pStyle w:val="Compact"/>
        <w:numPr>
          <w:ilvl w:val="0"/>
          <w:numId w:val="1005"/>
        </w:numPr>
      </w:pPr>
      <w:r>
        <w:rPr>
          <w:b/>
          <w:bCs/>
        </w:rPr>
        <w:t xml:space="preserve">Tariffs/inflation:</w:t>
      </w:r>
      <w:r>
        <w:t xml:space="preserve"> </w:t>
      </w:r>
      <w:r>
        <w:t xml:space="preserve">Management has consistently characterized tariff and input-cost impacts as manageable and largely absorbed through supply-chain initiatives rather than price surcharges, a stance likely to be reiterated.</w:t>
      </w:r>
    </w:p>
    <w:p>
      <w:r>
        <w:pict>
          <v:rect style="width:0;height:1.5pt" o:hralign="center" o:hrstd="t" o:hr="t"/>
        </w:pict>
      </w:r>
    </w:p>
    <w:bookmarkEnd w:id="12"/>
    <w:bookmarkStart w:id="13" w:name="Xfa205487bd031c05ac92ce55607aed6df9c8138"/>
    <w:p>
      <w:pPr>
        <w:pStyle w:val="Heading2"/>
      </w:pPr>
      <w:r>
        <w:t xml:space="preserve">5. Key Things to Watch on the Call</w:t>
      </w:r>
    </w:p>
    <w:p>
      <w:pPr>
        <w:pStyle w:val="Compact"/>
        <w:numPr>
          <w:ilvl w:val="0"/>
          <w:numId w:val="1006"/>
        </w:numPr>
      </w:pPr>
      <w:r>
        <w:rPr>
          <w:b/>
          <w:bCs/>
        </w:rPr>
        <w:t xml:space="preserve">Q4 organic growth and margin trends</w:t>
      </w:r>
      <w:r>
        <w:t xml:space="preserve"> </w:t>
      </w:r>
      <w:r>
        <w:t xml:space="preserve">relative to the tough prior-year comp, and whether gross margin extends its string of all-time highs.</w:t>
      </w:r>
    </w:p>
    <w:p>
      <w:pPr>
        <w:pStyle w:val="Compact"/>
        <w:numPr>
          <w:ilvl w:val="0"/>
          <w:numId w:val="1006"/>
        </w:numPr>
      </w:pPr>
      <w:r>
        <w:rPr>
          <w:b/>
          <w:bCs/>
        </w:rPr>
        <w:t xml:space="preserve">FY2027 initial guidance</w:t>
      </w:r>
      <w:r>
        <w:t xml:space="preserve"> </w:t>
      </w:r>
      <w:r>
        <w:t xml:space="preserve">— Cintas typically issues detailed guidance for the new fiscal year on the Q4 call; the key question is whether this guide is presented on a standalone (ex-UniFirst) basis given the deal hasn't closed, and what underlying growth/margin assumptions are embedded.</w:t>
      </w:r>
    </w:p>
    <w:p>
      <w:pPr>
        <w:pStyle w:val="Compact"/>
        <w:numPr>
          <w:ilvl w:val="0"/>
          <w:numId w:val="1006"/>
        </w:numPr>
      </w:pPr>
      <w:r>
        <w:rPr>
          <w:b/>
          <w:bCs/>
        </w:rPr>
        <w:t xml:space="preserve">UniFirst deal timeline</w:t>
      </w:r>
      <w:r>
        <w:t xml:space="preserve"> </w:t>
      </w:r>
      <w:r>
        <w:t xml:space="preserve">— any incremental disclosure on the FTC Second Request process, expected compliance timing, and confidence in a second-half-2026 close.</w:t>
      </w:r>
    </w:p>
    <w:p>
      <w:pPr>
        <w:pStyle w:val="Compact"/>
        <w:numPr>
          <w:ilvl w:val="0"/>
          <w:numId w:val="1006"/>
        </w:numPr>
      </w:pPr>
      <w:r>
        <w:rPr>
          <w:b/>
          <w:bCs/>
        </w:rPr>
        <w:t xml:space="preserve">Capital allocation cadence</w:t>
      </w:r>
      <w:r>
        <w:t xml:space="preserve"> </w:t>
      </w:r>
      <w:r>
        <w:t xml:space="preserve">post-shareholder vote — pace of buybacks and dividend growth.</w:t>
      </w:r>
    </w:p>
    <w:p>
      <w:pPr>
        <w:pStyle w:val="Compact"/>
        <w:numPr>
          <w:ilvl w:val="0"/>
          <w:numId w:val="1006"/>
        </w:numPr>
      </w:pPr>
      <w:r>
        <w:rPr>
          <w:b/>
          <w:bCs/>
        </w:rPr>
        <w:t xml:space="preserve">Energy cost impact</w:t>
      </w:r>
      <w:r>
        <w:t xml:space="preserve"> </w:t>
      </w:r>
      <w:r>
        <w:t xml:space="preserve">given the run-up in fuel prices noted heading into the quarter.</w:t>
      </w:r>
    </w:p>
    <w:p>
      <w:pPr>
        <w:pStyle w:val="Compact"/>
        <w:numPr>
          <w:ilvl w:val="0"/>
          <w:numId w:val="1006"/>
        </w:numPr>
      </w:pPr>
      <w:r>
        <w:rPr>
          <w:b/>
          <w:bCs/>
        </w:rPr>
        <w:t xml:space="preserve">New growth initiatives</w:t>
      </w:r>
      <w:r>
        <w:t xml:space="preserve"> </w:t>
      </w:r>
      <w:r>
        <w:t xml:space="preserve">— continued commentary on cross-sell momentum, the specialty trades push (e.g., the Ford/Carhartt uniform partnership and "Apparel+" platform), and new-business win rates from the large "no-programmer" addressable market.</w:t>
      </w:r>
    </w:p>
    <w:p>
      <w:r>
        <w:pict>
          <v:rect style="width:0;height:1.5pt" o:hralign="center" o:hrstd="t" o:hr="t"/>
        </w:pict>
      </w:r>
    </w:p>
    <w:bookmarkEnd w:id="13"/>
    <w:bookmarkStart w:id="14" w:name="X49e34d9056703e0521ab3ce2e920b2c4ba97a36"/>
    <w:p>
      <w:pPr>
        <w:pStyle w:val="Heading2"/>
      </w:pPr>
      <w:r>
        <w:t xml:space="preserve">6. Bottom Line</w:t>
      </w:r>
    </w:p>
    <w:p>
      <w:pPr>
        <w:pStyle w:val="FirstParagraph"/>
      </w:pPr>
      <w:r>
        <w:t xml:space="preserve">Fundamentally, Cintas' core route-based businesses remain in excellent shape — record revenue, record segment gross margins, ~95% retention, and a growth algorithm (new business + cross-sell + pricing) that has been remarkably consistent quarter to quarter. The Q4 numbers themselves are unlikely to be the swing factor for the stock; they're largely baked into raised full-year guidance and Street consensus is tightly clustered around</w:t>
      </w:r>
      <w:r>
        <w:t xml:space="preserve"> </w:t>
      </w:r>
      <m:oMath>
        <m:r>
          <m:t>1.23</m:t>
        </m:r>
        <m:r>
          <m:rPr>
            <m:sty m:val="p"/>
          </m:rPr>
          <m:t>–</m:t>
        </m:r>
      </m:oMath>
      <w:r>
        <w:t xml:space="preserve">1.24 EPS on ~</w:t>
      </w:r>
      <m:oMath>
        <m:r>
          <m:t>2.87</m:t>
        </m:r>
        <m:r>
          <m:rPr>
            <m:sty m:val="p"/>
          </m:rPr>
          <m:t>–</m:t>
        </m:r>
      </m:oMath>
      <w:r>
        <w:t xml:space="preserve">2.89 billion of revenue.</w:t>
      </w:r>
    </w:p>
    <w:p>
      <w:pPr>
        <w:pStyle w:val="BodyText"/>
      </w:pPr>
      <w:r>
        <w:t xml:space="preserve">The swing factor is the</w:t>
      </w:r>
      <w:r>
        <w:t xml:space="preserve"> </w:t>
      </w:r>
      <w:r>
        <w:rPr>
          <w:b/>
          <w:bCs/>
        </w:rPr>
        <w:t xml:space="preserve">UniFirst acquisition</w:t>
      </w:r>
      <w:r>
        <w:t xml:space="preserve">. The FTC's Second Request has introduced real regulatory-timeline risk into what was framed as a straightforward, highly complementary consolidation of the two largest independent uniform-rental platforms in North America. Investors should expect the call to spend significant time on deal mechanics, financing, and regulatory process rather than on the underlying quarterly results — and any incremental color (positive or negative) on the FTC process is likely to move the stock more than the reported EPS beat/miss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2026-07-15T00:36:50Z</dcterms:created>
  <dcterms:modified xsi:type="dcterms:W3CDTF">2026-07-15T00:36:50Z</dcterms:modified>
</cp:coreProperties>
</file>

<file path=docProps/custom.xml><?xml version="1.0" encoding="utf-8"?>
<Properties xmlns="http://schemas.openxmlformats.org/officeDocument/2006/custom-properties" xmlns:vt="http://schemas.openxmlformats.org/officeDocument/2006/docPropsVTypes"/>
</file>