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ctas-fiscal-2026-q4-earnings-preview"/>
    <w:p>
      <w:pPr>
        <w:pStyle w:val="Heading1"/>
      </w:pPr>
      <w:r>
        <w:t xml:space="preserve">CTAS Fiscal 2026 Q4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July 15, 2026, before the market opens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10:00 a.m. ET</w:t>
      </w:r>
      <w:r>
        <w:br/>
      </w:r>
      <w:r>
        <w:rPr>
          <w:b/>
          <w:bCs/>
        </w:rPr>
        <w:t xml:space="preserve">Fiscal period:</w:t>
      </w:r>
      <w:r>
        <w:t xml:space="preserve"> </w:t>
      </w:r>
      <w:r>
        <w:t xml:space="preserve">Quarter and year ended May 31, 2026</w:t>
      </w:r>
    </w:p>
    <w:bookmarkStart w:id="9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Cintas enters earnings with strong operating momentum but a demanding setup. The company’s last update featured 8.2% organic growth, record gross margins and another guidance increase. However, current consensus already sits near the top of management’s implied fourth-quarter range.</w:t>
      </w:r>
    </w:p>
    <w:p>
      <w:pPr>
        <w:pStyle w:val="BodyText"/>
      </w:pPr>
      <w:r>
        <w:t xml:space="preserve">The likely stock reaction will therefore depend less on whether CTAS beats Q4 EPS by a penny and more on three issues: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organic growth remains near 8% despite a difficult comparison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record margins prove sustainable amid higher fuel, labor and sourcing costs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initial fiscal 2027 guidance supports roughly 7% revenue growth and double-digit EPS growth</w:t>
      </w:r>
    </w:p>
    <w:p>
      <w:pPr>
        <w:pStyle w:val="FirstParagraph"/>
      </w:pPr>
      <w:r>
        <w:t xml:space="preserve">The pending UniFirst acquisition adds a second layer. Investors will want reassurance on regulatory timing, financing and integration economics, although management may limit commentary while the FTC review is ongoing.</w:t>
      </w:r>
    </w:p>
    <w:p>
      <w:r>
        <w:pict>
          <v:rect style="width:0;height:1.5pt" o:hralign="center" o:hrstd="t" o:hr="t"/>
        </w:pict>
      </w:r>
    </w:p>
    <w:bookmarkEnd w:id="9"/>
    <w:bookmarkStart w:id="12" w:name="expectations-and-the-embedded-bar"/>
    <w:p>
      <w:pPr>
        <w:pStyle w:val="Heading2"/>
      </w:pPr>
      <w:r>
        <w:t xml:space="preserve">Expectations and the embedded bar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Q4 FY2025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Q4 FY2026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$2.668B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m:oMath>
              <m:r>
                <m:t>2.87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2.88B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~7.6%–8.0%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~$1.24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$10.34B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~$11.23B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~8.6%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~$4.89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~11%</w:t>
            </w:r>
          </w:p>
        </w:tc>
      </w:tr>
    </w:tbl>
    <w:p>
      <w:pPr>
        <w:pStyle w:val="BodyText"/>
      </w:pPr>
      <w:r>
        <w:t xml:space="preserve">Published estimates vary slightly, but the prevailing consensus is approximately</w:t>
      </w:r>
      <w:r>
        <w:t xml:space="preserve"> </w:t>
      </w:r>
      <m:oMath>
        <m:r>
          <m:t>2.87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2.88 billion of revenue and $1.24 of adjusted EPS</w:t>
      </w:r>
      <w:r>
        <w:t xml:space="preserve">. (</w:t>
      </w:r>
      <w:hyperlink r:id="rId10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After nine months, Cintas had generated $8.360 billion of revenue and $3.65 of diluted EPS. Management’s full-year guidance of</w:t>
      </w:r>
      <w:r>
        <w:t xml:space="preserve"> </w:t>
      </w:r>
      <m:oMath>
        <m:r>
          <m:t>11.21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11.24 billion and adjusted EPS of</w:t>
      </w:r>
      <w:r>
        <w:t xml:space="preserve"> </w:t>
      </w:r>
      <m:oMath>
        <m:r>
          <m:t>4.86</m:t>
        </m:r>
        <m:r>
          <m:rPr>
            <m:sty m:val="p"/>
          </m:rPr>
          <m:t>–</m:t>
        </m:r>
      </m:oMath>
      <w:r>
        <w:t xml:space="preserve">4.90 therefore implies: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Q4 revenue:</w:t>
      </w:r>
      <w:r>
        <w:t xml:space="preserve"> </w:t>
      </w:r>
      <m:oMath>
        <m:r>
          <m:t>2.850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2.880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Q4 adjusted EPS:</w:t>
      </w:r>
      <w:r>
        <w:t xml:space="preserve"> </w:t>
      </w:r>
      <m:oMath>
        <m:r>
          <m:t>1.21</m:t>
        </m:r>
        <m:r>
          <m:rPr>
            <m:sty m:val="p"/>
          </m:rPr>
          <m:t>–</m:t>
        </m:r>
      </m:oMath>
      <w:r>
        <w:t xml:space="preserve">1.25</w:t>
      </w:r>
    </w:p>
    <w:p>
      <w:pPr>
        <w:pStyle w:val="FirstParagraph"/>
      </w:pPr>
      <w:r>
        <w:t xml:space="preserve">Consensus is consequently at or near the</w:t>
      </w:r>
      <w:r>
        <w:t xml:space="preserve"> </w:t>
      </w:r>
      <w:r>
        <w:rPr>
          <w:b/>
          <w:bCs/>
        </w:rPr>
        <w:t xml:space="preserve">top end of management’s revenue range</w:t>
      </w:r>
      <w:r>
        <w:t xml:space="preserve"> </w:t>
      </w:r>
      <w:r>
        <w:t xml:space="preserve">and toward the upper end of its EPS range. That makes an in-line result less compelling than it might initially appear. Cintas’ guidance excludes the effect of UniFirst and excludes an estimated</w:t>
      </w:r>
      <w:r>
        <w:t xml:space="preserve"> </w:t>
      </w:r>
      <m:oMath>
        <m:r>
          <m:t>0.03</m:t>
        </m:r>
        <m:r>
          <m:rPr>
            <m:sty m:val="p"/>
          </m:rPr>
          <m:t>–</m:t>
        </m:r>
      </m:oMath>
      <w:r>
        <w:t xml:space="preserve">0.04 per share of FY2026 transaction costs. (</w:t>
      </w:r>
      <w:hyperlink r:id="rId11">
        <w:r>
          <w:rPr>
            <w:rStyle w:val="Hyperlink"/>
          </w:rPr>
          <w:t xml:space="preserve">cintas.com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2"/>
    <w:bookmarkStart w:id="18" w:name="what-matters-most"/>
    <w:p>
      <w:pPr>
        <w:pStyle w:val="Heading2"/>
      </w:pPr>
      <w:r>
        <w:t xml:space="preserve">What matters most</w:t>
      </w:r>
    </w:p>
    <w:bookmarkStart w:id="15" w:name="X7aa085f380fa2592c206b65c436706174c0f75a"/>
    <w:p>
      <w:pPr>
        <w:pStyle w:val="Heading3"/>
      </w:pPr>
      <w:r>
        <w:t xml:space="preserve">1. Organic growth: can CTAS hold near 8%?</w:t>
      </w:r>
    </w:p>
    <w:p>
      <w:pPr>
        <w:pStyle w:val="FirstParagraph"/>
      </w:pPr>
      <w:r>
        <w:t xml:space="preserve">Cintas posted 8.9% reported and 8.2% organic growth in Q3. The underlying composition was healthy:</w:t>
      </w:r>
    </w:p>
    <w:p>
      <w:pPr>
        <w:pStyle w:val="Compact"/>
        <w:numPr>
          <w:ilvl w:val="0"/>
          <w:numId w:val="1003"/>
        </w:numPr>
      </w:pPr>
      <w:r>
        <w:t xml:space="preserve">Uniform Rental and Facility Services:</w:t>
      </w:r>
      <w:r>
        <w:t xml:space="preserve"> </w:t>
      </w:r>
      <w:r>
        <w:rPr>
          <w:b/>
          <w:bCs/>
        </w:rPr>
        <w:t xml:space="preserve">7.3% organic growth</w:t>
      </w:r>
    </w:p>
    <w:p>
      <w:pPr>
        <w:pStyle w:val="Compact"/>
        <w:numPr>
          <w:ilvl w:val="0"/>
          <w:numId w:val="1003"/>
        </w:numPr>
      </w:pPr>
      <w:r>
        <w:t xml:space="preserve">First Aid and Safety:</w:t>
      </w:r>
      <w:r>
        <w:t xml:space="preserve"> </w:t>
      </w:r>
      <w:r>
        <w:rPr>
          <w:b/>
          <w:bCs/>
        </w:rPr>
        <w:t xml:space="preserve">14.6%</w:t>
      </w:r>
    </w:p>
    <w:p>
      <w:pPr>
        <w:pStyle w:val="Compact"/>
        <w:numPr>
          <w:ilvl w:val="0"/>
          <w:numId w:val="1003"/>
        </w:numPr>
      </w:pPr>
      <w:r>
        <w:t xml:space="preserve">Fire Protection:</w:t>
      </w:r>
      <w:r>
        <w:t xml:space="preserve"> </w:t>
      </w:r>
      <w:r>
        <w:rPr>
          <w:b/>
          <w:bCs/>
        </w:rPr>
        <w:t xml:space="preserve">10.0%</w:t>
      </w:r>
    </w:p>
    <w:p>
      <w:pPr>
        <w:pStyle w:val="Compact"/>
        <w:numPr>
          <w:ilvl w:val="0"/>
          <w:numId w:val="1003"/>
        </w:numPr>
      </w:pPr>
      <w:r>
        <w:t xml:space="preserve">Uniform Direct Sale:</w:t>
      </w:r>
      <w:r>
        <w:t xml:space="preserve"> </w:t>
      </w:r>
      <w:r>
        <w:rPr>
          <w:b/>
          <w:bCs/>
        </w:rPr>
        <w:t xml:space="preserve">3.1%</w:t>
      </w:r>
      <w:r>
        <w:t xml:space="preserve"> </w:t>
      </w:r>
      <w:r>
        <w:t xml:space="preserve">(</w:t>
      </w:r>
      <w:hyperlink r:id="rId13">
        <w:r>
          <w:rPr>
            <w:rStyle w:val="Hyperlink"/>
          </w:rPr>
          <w:t xml:space="preserve">tipranks.com</w:t>
        </w:r>
      </w:hyperlink>
      <w:r>
        <w:t xml:space="preserve">)</w:t>
      </w:r>
    </w:p>
    <w:p>
      <w:pPr>
        <w:pStyle w:val="FirstParagraph"/>
      </w:pPr>
      <w:r>
        <w:t xml:space="preserve">Management previously indicated that the Q4 guidance implied approximately</w:t>
      </w:r>
      <w:r>
        <w:t xml:space="preserve"> </w:t>
      </w:r>
      <w:r>
        <w:rPr>
          <w:b/>
          <w:bCs/>
        </w:rPr>
        <w:t xml:space="preserve">7.6% organic growth</w:t>
      </w:r>
      <w:r>
        <w:t xml:space="preserve">, down modestly from Q3. That would still be an excellent outcome given a 9.0% organic-growth comparison in the prior-year quarter.</w:t>
      </w:r>
    </w:p>
    <w:p>
      <w:pPr>
        <w:pStyle w:val="BodyText"/>
      </w:pPr>
      <w:r>
        <w:t xml:space="preserve">The main comparison issue is First Aid and Safety. That business grew 18.5% organically in Q4 FY2025, helped by unusually strong AED-related training activity. Uniform Direct Sale also had a strong and potentially difficult-to-repeat prior-year quarter.</w:t>
      </w:r>
    </w:p>
    <w:p>
      <w:pPr>
        <w:pStyle w:val="BodyText"/>
      </w:pPr>
      <w:r>
        <w:rPr>
          <w:b/>
          <w:bCs/>
        </w:rPr>
        <w:t xml:space="preserve">What would be encouraging:</w:t>
      </w:r>
    </w:p>
    <w:p>
      <w:pPr>
        <w:pStyle w:val="Compact"/>
        <w:numPr>
          <w:ilvl w:val="0"/>
          <w:numId w:val="1004"/>
        </w:numPr>
      </w:pPr>
      <w:r>
        <w:t xml:space="preserve">Consolidated organic growth of roughly 7.5% or better</w:t>
      </w:r>
    </w:p>
    <w:p>
      <w:pPr>
        <w:pStyle w:val="Compact"/>
        <w:numPr>
          <w:ilvl w:val="0"/>
          <w:numId w:val="1004"/>
        </w:numPr>
      </w:pPr>
      <w:r>
        <w:t xml:space="preserve">Core uniform rental growth holding near 7%</w:t>
      </w:r>
    </w:p>
    <w:p>
      <w:pPr>
        <w:pStyle w:val="Compact"/>
        <w:numPr>
          <w:ilvl w:val="0"/>
          <w:numId w:val="1004"/>
        </w:numPr>
      </w:pPr>
      <w:r>
        <w:t xml:space="preserve">Continued double-digit growth in First Aid and Fire, even if First Aid decelerates</w:t>
      </w:r>
    </w:p>
    <w:p>
      <w:pPr>
        <w:pStyle w:val="Compact"/>
        <w:numPr>
          <w:ilvl w:val="0"/>
          <w:numId w:val="1004"/>
        </w:numPr>
      </w:pPr>
      <w:r>
        <w:t xml:space="preserve">No meaningful deterioration in wearer levels, retention or new-business conversion</w:t>
      </w:r>
    </w:p>
    <w:p>
      <w:pPr>
        <w:pStyle w:val="FirstParagraph"/>
      </w:pPr>
      <w:r>
        <w:rPr>
          <w:b/>
          <w:bCs/>
        </w:rPr>
        <w:t xml:space="preserve">Warning signs:</w:t>
      </w:r>
    </w:p>
    <w:p>
      <w:pPr>
        <w:pStyle w:val="Compact"/>
        <w:numPr>
          <w:ilvl w:val="0"/>
          <w:numId w:val="1005"/>
        </w:numPr>
      </w:pPr>
      <w:r>
        <w:t xml:space="preserve">Organic growth slipping toward 6%–7%</w:t>
      </w:r>
    </w:p>
    <w:p>
      <w:pPr>
        <w:pStyle w:val="Compact"/>
        <w:numPr>
          <w:ilvl w:val="0"/>
          <w:numId w:val="1005"/>
        </w:numPr>
      </w:pPr>
      <w:r>
        <w:t xml:space="preserve">Evidence that customer hiring weakness is reducing uniform wearer counts</w:t>
      </w:r>
    </w:p>
    <w:p>
      <w:pPr>
        <w:pStyle w:val="Compact"/>
        <w:numPr>
          <w:ilvl w:val="0"/>
          <w:numId w:val="1005"/>
        </w:numPr>
      </w:pPr>
      <w:r>
        <w:t xml:space="preserve">Cross-selling or new-business wins no longer offsetting slower employment growth</w:t>
      </w:r>
    </w:p>
    <w:p>
      <w:pPr>
        <w:pStyle w:val="FirstParagraph"/>
      </w:pPr>
      <w:r>
        <w:t xml:space="preserve">Cintas has said retention remains around 95%, pricing is running at its historical 2%–3% level and new business and cross-selling have been improving. Those indicators will be more informative than reported revenue alone. (</w:t>
      </w:r>
      <w:hyperlink r:id="rId14">
        <w:r>
          <w:rPr>
            <w:rStyle w:val="Hyperlink"/>
          </w:rPr>
          <w:t xml:space="preserve">dafinchi.ai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5"/>
    <w:bookmarkStart w:id="17" w:name="X233a5c8578d6b4caf6d27e95b206e96fa3f7d2e"/>
    <w:p>
      <w:pPr>
        <w:pStyle w:val="Heading3"/>
      </w:pPr>
      <w:r>
        <w:t xml:space="preserve">2. Margin durability is arguably the most important operating question</w:t>
      </w:r>
    </w:p>
    <w:p>
      <w:pPr>
        <w:pStyle w:val="FirstParagraph"/>
      </w:pPr>
      <w:r>
        <w:t xml:space="preserve">Q3 gross margin reached an all-time high of</w:t>
      </w:r>
      <w:r>
        <w:t xml:space="preserve"> </w:t>
      </w:r>
      <w:r>
        <w:rPr>
          <w:b/>
          <w:bCs/>
        </w:rPr>
        <w:t xml:space="preserve">51.0%</w:t>
      </w:r>
      <w:r>
        <w:t xml:space="preserve">, up 40 basis points year over year. All three route-based businesses posted record gross margins, and operating margin was 23.2%. Excluding a prior-year property gain, operating margin expanded approximately 40 basis points. (</w:t>
      </w:r>
      <w:hyperlink r:id="rId11">
        <w:r>
          <w:rPr>
            <w:rStyle w:val="Hyperlink"/>
          </w:rPr>
          <w:t xml:space="preserve">cintas.com</w:t>
        </w:r>
      </w:hyperlink>
      <w:r>
        <w:t xml:space="preserve">)</w:t>
      </w:r>
    </w:p>
    <w:p>
      <w:pPr>
        <w:pStyle w:val="BodyText"/>
      </w:pPr>
      <w:r>
        <w:t xml:space="preserve">The fourth quarter is normally less favorable seasonally: gross margin was 49.7% in Q4 FY2025. Investors should not expect a simple repeat of Q3’s 51%, but they should expect continued year-over-year progress if Cintas’ operational initiatives are working.</w:t>
      </w:r>
    </w:p>
    <w:p>
      <w:pPr>
        <w:pStyle w:val="BodyText"/>
      </w:pPr>
      <w:r>
        <w:t xml:space="preserve">Key puts and takes include:</w:t>
      </w:r>
    </w:p>
    <w:p>
      <w:pPr>
        <w:pStyle w:val="BodyText"/>
      </w:pPr>
      <w:r>
        <w:rPr>
          <w:b/>
          <w:bCs/>
        </w:rPr>
        <w:t xml:space="preserve">Positive</w:t>
      </w:r>
    </w:p>
    <w:p>
      <w:pPr>
        <w:pStyle w:val="Compact"/>
        <w:numPr>
          <w:ilvl w:val="0"/>
          <w:numId w:val="1006"/>
        </w:numPr>
      </w:pPr>
      <w:r>
        <w:t xml:space="preserve">Revenue growth and route density</w:t>
      </w:r>
    </w:p>
    <w:p>
      <w:pPr>
        <w:pStyle w:val="Compact"/>
        <w:numPr>
          <w:ilvl w:val="0"/>
          <w:numId w:val="1006"/>
        </w:numPr>
      </w:pPr>
      <w:r>
        <w:t xml:space="preserve">SmartTruck routing and supply-chain efficiencies</w:t>
      </w:r>
    </w:p>
    <w:p>
      <w:pPr>
        <w:pStyle w:val="Compact"/>
        <w:numPr>
          <w:ilvl w:val="0"/>
          <w:numId w:val="1006"/>
        </w:numPr>
      </w:pPr>
      <w:r>
        <w:t xml:space="preserve">Cross-selling into the existing customer base</w:t>
      </w:r>
    </w:p>
    <w:p>
      <w:pPr>
        <w:pStyle w:val="Compact"/>
        <w:numPr>
          <w:ilvl w:val="0"/>
          <w:numId w:val="1006"/>
        </w:numPr>
      </w:pPr>
      <w:r>
        <w:t xml:space="preserve">Technology and processing investments</w:t>
      </w:r>
    </w:p>
    <w:p>
      <w:pPr>
        <w:pStyle w:val="Compact"/>
        <w:numPr>
          <w:ilvl w:val="0"/>
          <w:numId w:val="1006"/>
        </w:numPr>
      </w:pPr>
      <w:r>
        <w:t xml:space="preserve">Favorable mix in First Aid and Fire Protection</w:t>
      </w:r>
    </w:p>
    <w:p>
      <w:pPr>
        <w:pStyle w:val="FirstParagraph"/>
      </w:pPr>
      <w:r>
        <w:rPr>
          <w:b/>
          <w:bCs/>
        </w:rPr>
        <w:t xml:space="preserve">Negative</w:t>
      </w:r>
    </w:p>
    <w:p>
      <w:pPr>
        <w:pStyle w:val="Compact"/>
        <w:numPr>
          <w:ilvl w:val="0"/>
          <w:numId w:val="1007"/>
        </w:numPr>
      </w:pPr>
      <w:r>
        <w:t xml:space="preserve">Higher vehicle fuel expense</w:t>
      </w:r>
    </w:p>
    <w:p>
      <w:pPr>
        <w:pStyle w:val="Compact"/>
        <w:numPr>
          <w:ilvl w:val="0"/>
          <w:numId w:val="1007"/>
        </w:numPr>
      </w:pPr>
      <w:r>
        <w:t xml:space="preserve">Wage and healthcare inflation</w:t>
      </w:r>
    </w:p>
    <w:p>
      <w:pPr>
        <w:pStyle w:val="Compact"/>
        <w:numPr>
          <w:ilvl w:val="0"/>
          <w:numId w:val="1007"/>
        </w:numPr>
      </w:pPr>
      <w:r>
        <w:t xml:space="preserve">Tariff and garment-sourcing costs</w:t>
      </w:r>
    </w:p>
    <w:p>
      <w:pPr>
        <w:pStyle w:val="Compact"/>
        <w:numPr>
          <w:ilvl w:val="0"/>
          <w:numId w:val="1007"/>
        </w:numPr>
      </w:pPr>
      <w:r>
        <w:t xml:space="preserve">Continued investment in route capacity, sales personnel and technology</w:t>
      </w:r>
    </w:p>
    <w:p>
      <w:pPr>
        <w:pStyle w:val="Compact"/>
        <w:numPr>
          <w:ilvl w:val="0"/>
          <w:numId w:val="1007"/>
        </w:numPr>
      </w:pPr>
      <w:r>
        <w:t xml:space="preserve">UniFirst transaction costs, which will be separately identified</w:t>
      </w:r>
    </w:p>
    <w:p>
      <w:pPr>
        <w:pStyle w:val="FirstParagraph"/>
      </w:pPr>
      <w:r>
        <w:t xml:space="preserve">Energy represented 1.7% of Q3 revenue. Management characterized fuel as manageable and included higher expected costs in guidance, but the inflationary backdrop has become more volatile. (</w:t>
      </w:r>
      <w:hyperlink r:id="rId16">
        <w:r>
          <w:rPr>
            <w:rStyle w:val="Hyperlink"/>
          </w:rPr>
          <w:t xml:space="preserve">fortune.com</w:t>
        </w:r>
      </w:hyperlink>
      <w:r>
        <w:t xml:space="preserve">)</w:t>
      </w:r>
    </w:p>
    <w:p>
      <w:pPr>
        <w:pStyle w:val="BodyText"/>
      </w:pPr>
      <w:r>
        <w:t xml:space="preserve">A satisfactory print would combine approximately 8% revenue growth with operating-income growth at least as fast as revenue. A stronger result would show another 20–40 basis points of underlying operating-margin expansion.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X252895b7c6d7d9ffc9d200b967bc9d20fc384eb"/>
    <w:p>
      <w:pPr>
        <w:pStyle w:val="Heading2"/>
      </w:pPr>
      <w:r>
        <w:t xml:space="preserve">Fiscal 2027 guidance will likely drive the stock</w:t>
      </w:r>
    </w:p>
    <w:p>
      <w:pPr>
        <w:pStyle w:val="FirstParagraph"/>
      </w:pPr>
      <w:r>
        <w:t xml:space="preserve">The initial FY2027 outlook should carry more weight than the backward-looking quarter. Current consensus is approximately: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$12.1 billion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$5.42</w:t>
      </w:r>
    </w:p>
    <w:p>
      <w:pPr>
        <w:pStyle w:val="FirstParagraph"/>
      </w:pPr>
      <w:r>
        <w:t xml:space="preserve">That implies roughly</w:t>
      </w:r>
      <w:r>
        <w:t xml:space="preserve"> </w:t>
      </w:r>
      <w:r>
        <w:rPr>
          <w:b/>
          <w:bCs/>
        </w:rPr>
        <w:t xml:space="preserve">7%–7.5% revenue growth</w:t>
      </w:r>
      <w:r>
        <w:t xml:space="preserve"> </w:t>
      </w:r>
      <w:r>
        <w:t xml:space="preserve">and approximately</w:t>
      </w:r>
      <w:r>
        <w:t xml:space="preserve"> </w:t>
      </w:r>
      <w:r>
        <w:rPr>
          <w:b/>
          <w:bCs/>
        </w:rPr>
        <w:t xml:space="preserve">11% EPS growth</w:t>
      </w:r>
      <w:r>
        <w:t xml:space="preserve"> </w:t>
      </w:r>
      <w:r>
        <w:t xml:space="preserve">from the expected FY2026 base. (</w:t>
      </w:r>
      <w:hyperlink r:id="rId19">
        <w:r>
          <w:rPr>
            <w:rStyle w:val="Hyperlink"/>
          </w:rPr>
          <w:t xml:space="preserve">boursorama.com</w:t>
        </w:r>
      </w:hyperlink>
      <w:r>
        <w:t xml:space="preserve">)</w:t>
      </w:r>
    </w:p>
    <w:p>
      <w:pPr>
        <w:pStyle w:val="BodyText"/>
      </w:pPr>
      <w:r>
        <w:t xml:space="preserve">A constructive standalone guide would probably include:</w:t>
      </w:r>
    </w:p>
    <w:p>
      <w:pPr>
        <w:pStyle w:val="Compact"/>
        <w:numPr>
          <w:ilvl w:val="0"/>
          <w:numId w:val="1009"/>
        </w:numPr>
      </w:pPr>
      <w:r>
        <w:t xml:space="preserve">Mid- to high-single-digit organic revenue growth</w:t>
      </w:r>
    </w:p>
    <w:p>
      <w:pPr>
        <w:pStyle w:val="Compact"/>
        <w:numPr>
          <w:ilvl w:val="0"/>
          <w:numId w:val="1009"/>
        </w:numPr>
      </w:pPr>
      <w:r>
        <w:t xml:space="preserve">Continued margin expansion, even if more modest than in FY2026</w:t>
      </w:r>
    </w:p>
    <w:p>
      <w:pPr>
        <w:pStyle w:val="Compact"/>
        <w:numPr>
          <w:ilvl w:val="0"/>
          <w:numId w:val="1009"/>
        </w:numPr>
      </w:pPr>
      <w:r>
        <w:t xml:space="preserve">Double-digit adjusted EPS growth</w:t>
      </w:r>
    </w:p>
    <w:p>
      <w:pPr>
        <w:pStyle w:val="Compact"/>
        <w:numPr>
          <w:ilvl w:val="0"/>
          <w:numId w:val="1009"/>
        </w:numPr>
      </w:pPr>
      <w:r>
        <w:t xml:space="preserve">Capex near the company’s historical approximately 4% of revenue</w:t>
      </w:r>
    </w:p>
    <w:p>
      <w:pPr>
        <w:pStyle w:val="Compact"/>
        <w:numPr>
          <w:ilvl w:val="0"/>
          <w:numId w:val="1009"/>
        </w:numPr>
      </w:pPr>
      <w:r>
        <w:t xml:space="preserve">Stable retention and pricing</w:t>
      </w:r>
    </w:p>
    <w:p>
      <w:pPr>
        <w:pStyle w:val="Compact"/>
        <w:numPr>
          <w:ilvl w:val="0"/>
          <w:numId w:val="1009"/>
        </w:numPr>
      </w:pPr>
      <w:r>
        <w:t xml:space="preserve">No material near-term operational disruption from the pending merger</w:t>
      </w:r>
    </w:p>
    <w:p>
      <w:pPr>
        <w:pStyle w:val="FirstParagraph"/>
      </w:pPr>
      <w:r>
        <w:t xml:space="preserve">One potential FY2027 headwind is the Fire Protection SAP implementation. Management previously suggested that a full-year rollout could represent roughly 100 basis points of margin pressure within that segment, although the actual FY2027 effect should depend on implementation timing.</w:t>
      </w:r>
    </w:p>
    <w:p>
      <w:pPr>
        <w:pStyle w:val="BodyText"/>
      </w:pPr>
      <w:r>
        <w:t xml:space="preserve">Investors should also distinguish between</w:t>
      </w:r>
      <w:r>
        <w:t xml:space="preserve"> </w:t>
      </w:r>
      <w:r>
        <w:rPr>
          <w:b/>
          <w:bCs/>
        </w:rPr>
        <w:t xml:space="preserve">standalone guidance</w:t>
      </w:r>
      <w:r>
        <w:t xml:space="preserve"> </w:t>
      </w:r>
      <w:r>
        <w:t xml:space="preserve">and any merger assumptions. Because UniFirst has not closed and regulatory timing remains uncertain, Cintas is likely to exclude UniFirst from its formal outlook and provide separate transaction commentary.</w:t>
      </w:r>
    </w:p>
    <w:p>
      <w:r>
        <w:pict>
          <v:rect style="width:0;height:1.5pt" o:hralign="center" o:hrstd="t" o:hr="t"/>
        </w:pict>
      </w:r>
    </w:p>
    <w:bookmarkEnd w:id="20"/>
    <w:bookmarkStart w:id="23" w:name="Xf81f84445fd23ba1f59d4aa5d7bda0093c3d544"/>
    <w:p>
      <w:pPr>
        <w:pStyle w:val="Heading2"/>
      </w:pPr>
      <w:r>
        <w:t xml:space="preserve">UniFirst: strategic upside, regulatory uncertainty</w:t>
      </w:r>
    </w:p>
    <w:p>
      <w:pPr>
        <w:pStyle w:val="FirstParagraph"/>
      </w:pPr>
      <w:r>
        <w:t xml:space="preserve">Cintas agreed to acquire UniFirst for approximately</w:t>
      </w:r>
      <w:r>
        <w:t xml:space="preserve"> </w:t>
      </w:r>
      <w:r>
        <w:rPr>
          <w:b/>
          <w:bCs/>
        </w:rPr>
        <w:t xml:space="preserve">$5.5 billion</w:t>
      </w:r>
      <w:r>
        <w:t xml:space="preserve">, paying</w:t>
      </w:r>
      <w:r>
        <w:t xml:space="preserve"> </w:t>
      </w:r>
      <m:oMath>
        <m:r>
          <m:t>155</m:t>
        </m:r>
        <m:r>
          <m:t>i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t>p</m:t>
        </m:r>
        <m:r>
          <m:t>l</m:t>
        </m:r>
        <m:r>
          <m:t>u</m:t>
        </m:r>
        <m:r>
          <m:t>s</m:t>
        </m:r>
        <m:r>
          <m:t>0.7720</m:t>
        </m:r>
        <m:r>
          <m:t>C</m:t>
        </m:r>
        <m:r>
          <m:t>T</m:t>
        </m:r>
        <m:r>
          <m:t>A</m:t>
        </m:r>
        <m:r>
          <m:t>S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f</m:t>
        </m:r>
        <m:r>
          <m:t>o</m:t>
        </m:r>
        <m:r>
          <m:t>r</m:t>
        </m:r>
        <m:r>
          <m:t>e</m:t>
        </m:r>
        <m:r>
          <m:t>a</m:t>
        </m:r>
        <m:r>
          <m:t>c</m:t>
        </m:r>
        <m:r>
          <m:t>h</m:t>
        </m:r>
        <m:r>
          <m:t>U</m:t>
        </m:r>
        <m:r>
          <m:t>n</m:t>
        </m:r>
        <m:r>
          <m:t>i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i</m:t>
        </m:r>
        <m:r>
          <m:t>s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i</m:t>
        </m:r>
        <m:r>
          <m:t>n</m:t>
        </m:r>
        <m:r>
          <m:t>g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375 million of annual operating-cost synergies within four years**, with the transaction expected to become EPS-accretive by the end of the second full year following closing. Expected leverage at closing is approximately 1.5 times debt to EBITDA. (</w:t>
      </w:r>
      <w:hyperlink r:id="rId21">
        <w:r>
          <w:rPr>
            <w:rStyle w:val="Hyperlink"/>
          </w:rPr>
          <w:t xml:space="preserve">cintas.com</w:t>
        </w:r>
      </w:hyperlink>
      <w:r>
        <w:t xml:space="preserve">)</w:t>
      </w:r>
    </w:p>
    <w:p>
      <w:pPr>
        <w:pStyle w:val="BodyText"/>
      </w:pPr>
      <w:r>
        <w:t xml:space="preserve">The shareholder vote is complete, but the FTC issued a</w:t>
      </w:r>
      <w:r>
        <w:t xml:space="preserve"> </w:t>
      </w:r>
      <w:r>
        <w:rPr>
          <w:b/>
          <w:bCs/>
        </w:rPr>
        <w:t xml:space="preserve">Second Request on June 11, 2026</w:t>
      </w:r>
      <w:r>
        <w:t xml:space="preserve">, extending the antitrust review. Cintas continues to target a closing in the second half of calendar 2026. (</w:t>
      </w:r>
      <w:hyperlink r:id="rId22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Questions investors will want addressed include:</w:t>
      </w:r>
    </w:p>
    <w:p>
      <w:pPr>
        <w:pStyle w:val="Compact"/>
        <w:numPr>
          <w:ilvl w:val="0"/>
          <w:numId w:val="1010"/>
        </w:numPr>
      </w:pPr>
      <w:r>
        <w:t xml:space="preserve">Is a second-half 2026 closing still realistic?</w:t>
      </w:r>
    </w:p>
    <w:p>
      <w:pPr>
        <w:pStyle w:val="Compact"/>
        <w:numPr>
          <w:ilvl w:val="0"/>
          <w:numId w:val="1010"/>
        </w:numPr>
      </w:pPr>
      <w:r>
        <w:t xml:space="preserve">Has the company begun substantial compliance with the FTC request?</w:t>
      </w:r>
    </w:p>
    <w:p>
      <w:pPr>
        <w:pStyle w:val="Compact"/>
        <w:numPr>
          <w:ilvl w:val="0"/>
          <w:numId w:val="1010"/>
        </w:numPr>
      </w:pPr>
      <w:r>
        <w:t xml:space="preserve">Could divestitures or behavioral remedies reduce the expected synergies?</w:t>
      </w:r>
    </w:p>
    <w:p>
      <w:pPr>
        <w:pStyle w:val="Compact"/>
        <w:numPr>
          <w:ilvl w:val="0"/>
          <w:numId w:val="1010"/>
        </w:numPr>
      </w:pPr>
      <w:r>
        <w:t xml:space="preserve">Are the $375 million synergy target and four-year timeline unchanged?</w:t>
      </w:r>
    </w:p>
    <w:p>
      <w:pPr>
        <w:pStyle w:val="Compact"/>
        <w:numPr>
          <w:ilvl w:val="0"/>
          <w:numId w:val="1010"/>
        </w:numPr>
      </w:pPr>
      <w:r>
        <w:t xml:space="preserve">Have financing costs moved materially since the deal was announced?</w:t>
      </w:r>
    </w:p>
    <w:p>
      <w:pPr>
        <w:pStyle w:val="Compact"/>
        <w:numPr>
          <w:ilvl w:val="0"/>
          <w:numId w:val="1010"/>
        </w:numPr>
      </w:pPr>
      <w:r>
        <w:t xml:space="preserve">Will transaction-related restrictions continue to limit share repurchases?</w:t>
      </w:r>
    </w:p>
    <w:p>
      <w:pPr>
        <w:pStyle w:val="FirstParagraph"/>
      </w:pPr>
      <w:r>
        <w:t xml:space="preserve">Management may decline to discuss the FTC process in detail. Even so, simply reaffirming the closing window and synergy framework would be incrementally reassuring.</w:t>
      </w:r>
    </w:p>
    <w:p>
      <w:r>
        <w:pict>
          <v:rect style="width:0;height:1.5pt" o:hralign="center" o:hrstd="t" o:hr="t"/>
        </w:pict>
      </w:r>
    </w:p>
    <w:bookmarkEnd w:id="23"/>
    <w:bookmarkStart w:id="28" w:name="valuation-and-likely-reaction-function"/>
    <w:p>
      <w:pPr>
        <w:pStyle w:val="Heading2"/>
      </w:pPr>
      <w:r>
        <w:t xml:space="preserve">Valuation and likely reaction function</w:t>
      </w:r>
    </w:p>
    <w:p>
      <w:pPr>
        <w:pStyle w:val="FirstParagraph"/>
      </w:pPr>
      <w:r>
        <w:t xml:space="preserve">At approximately</w:t>
      </w:r>
      <w:r>
        <w:t xml:space="preserve"> </w:t>
      </w:r>
      <w:r>
        <w:rPr>
          <w:b/>
          <w:bCs/>
        </w:rPr>
        <w:t xml:space="preserve">$184 per share</w:t>
      </w:r>
      <w:r>
        <w:t xml:space="preserve">, CTAS trades near</w:t>
      </w:r>
      <w:r>
        <w:t xml:space="preserve"> </w:t>
      </w:r>
      <w:r>
        <w:rPr>
          <w:b/>
          <w:bCs/>
        </w:rPr>
        <w:t xml:space="preserve">34 times the FY2027 consensus EPS estimate</w:t>
      </w:r>
      <w:r>
        <w:t xml:space="preserve">. That remains a premium valuation, even after the stock’s pullback over the past year. (</w:t>
      </w:r>
      <w:hyperlink r:id="rId24">
        <w:r>
          <w:rPr>
            <w:rStyle w:val="Hyperlink"/>
          </w:rPr>
          <w:t xml:space="preserve">tradewithmaya.com</w:t>
        </w:r>
      </w:hyperlink>
      <w:r>
        <w:t xml:space="preserve">)</w:t>
      </w:r>
    </w:p>
    <w:p>
      <w:pPr>
        <w:pStyle w:val="BodyText"/>
      </w:pPr>
      <w:r>
        <w:t xml:space="preserve">The multiple reflects Cintas’ unusually consistent growth, high retention, recurring route-based revenue and strong capital returns. But it also means that merely meeting expectations may not be sufficient.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Revenue above $2.88 billion</w:t>
      </w:r>
    </w:p>
    <w:p>
      <w:pPr>
        <w:pStyle w:val="Compact"/>
        <w:numPr>
          <w:ilvl w:val="0"/>
          <w:numId w:val="1011"/>
        </w:numPr>
      </w:pPr>
      <w:r>
        <w:t xml:space="preserve">Adjusted EPS of $1.25 or better</w:t>
      </w:r>
    </w:p>
    <w:p>
      <w:pPr>
        <w:pStyle w:val="Compact"/>
        <w:numPr>
          <w:ilvl w:val="0"/>
          <w:numId w:val="1011"/>
        </w:numPr>
      </w:pPr>
      <w:r>
        <w:t xml:space="preserve">Organic growth near or above 8%</w:t>
      </w:r>
    </w:p>
    <w:p>
      <w:pPr>
        <w:pStyle w:val="Compact"/>
        <w:numPr>
          <w:ilvl w:val="0"/>
          <w:numId w:val="1011"/>
        </w:numPr>
      </w:pPr>
      <w:r>
        <w:t xml:space="preserve">Continued underlying margin expansion</w:t>
      </w:r>
    </w:p>
    <w:p>
      <w:pPr>
        <w:pStyle w:val="Compact"/>
        <w:numPr>
          <w:ilvl w:val="0"/>
          <w:numId w:val="1011"/>
        </w:numPr>
      </w:pPr>
      <w:r>
        <w:t xml:space="preserve">FY2027 EPS guidance at or above roughly $5.42</w:t>
      </w:r>
    </w:p>
    <w:p>
      <w:pPr>
        <w:pStyle w:val="Compact"/>
        <w:numPr>
          <w:ilvl w:val="0"/>
          <w:numId w:val="1011"/>
        </w:numPr>
      </w:pPr>
      <w:r>
        <w:t xml:space="preserve">UniFirst closing and synergy targets reaffirmed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Revenue around</w:t>
      </w:r>
      <w:r>
        <w:t xml:space="preserve"> </w:t>
      </w:r>
      <m:oMath>
        <m:r>
          <m:t>2.87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2.88 billion</w:t>
      </w:r>
    </w:p>
    <w:p>
      <w:pPr>
        <w:pStyle w:val="Compact"/>
        <w:numPr>
          <w:ilvl w:val="0"/>
          <w:numId w:val="1012"/>
        </w:numPr>
      </w:pPr>
      <w:r>
        <w:t xml:space="preserve">Adjusted EPS around</w:t>
      </w:r>
      <w:r>
        <w:t xml:space="preserve"> </w:t>
      </w:r>
      <m:oMath>
        <m:r>
          <m:t>1.23</m:t>
        </m:r>
        <m:r>
          <m:rPr>
            <m:sty m:val="p"/>
          </m:rPr>
          <m:t>–</m:t>
        </m:r>
      </m:oMath>
      <w:r>
        <w:t xml:space="preserve">1.24</w:t>
      </w:r>
    </w:p>
    <w:p>
      <w:pPr>
        <w:pStyle w:val="Compact"/>
        <w:numPr>
          <w:ilvl w:val="0"/>
          <w:numId w:val="1012"/>
        </w:numPr>
      </w:pPr>
      <w:r>
        <w:t xml:space="preserve">Organic growth around 7.5%</w:t>
      </w:r>
    </w:p>
    <w:p>
      <w:pPr>
        <w:pStyle w:val="Compact"/>
        <w:numPr>
          <w:ilvl w:val="0"/>
          <w:numId w:val="1012"/>
        </w:numPr>
      </w:pPr>
      <w:r>
        <w:t xml:space="preserve">Modest margin expansion</w:t>
      </w:r>
    </w:p>
    <w:p>
      <w:pPr>
        <w:pStyle w:val="Compact"/>
        <w:numPr>
          <w:ilvl w:val="0"/>
          <w:numId w:val="1012"/>
        </w:numPr>
      </w:pPr>
      <w:r>
        <w:t xml:space="preserve">FY2027 guide broadly brackets consensus</w:t>
      </w:r>
    </w:p>
    <w:p>
      <w:pPr>
        <w:pStyle w:val="Compact"/>
        <w:numPr>
          <w:ilvl w:val="0"/>
          <w:numId w:val="1012"/>
        </w:numPr>
      </w:pPr>
      <w:r>
        <w:t xml:space="preserve">Limited new information on UniFirst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Revenue below $2.85 billion</w:t>
      </w:r>
    </w:p>
    <w:p>
      <w:pPr>
        <w:pStyle w:val="Compact"/>
        <w:numPr>
          <w:ilvl w:val="0"/>
          <w:numId w:val="1013"/>
        </w:numPr>
      </w:pPr>
      <w:r>
        <w:t xml:space="preserve">Organic growth below 7%</w:t>
      </w:r>
    </w:p>
    <w:p>
      <w:pPr>
        <w:pStyle w:val="Compact"/>
        <w:numPr>
          <w:ilvl w:val="0"/>
          <w:numId w:val="1013"/>
        </w:numPr>
      </w:pPr>
      <w:r>
        <w:t xml:space="preserve">Margin compression from fuel, labor or investment spending</w:t>
      </w:r>
    </w:p>
    <w:p>
      <w:pPr>
        <w:pStyle w:val="Compact"/>
        <w:numPr>
          <w:ilvl w:val="0"/>
          <w:numId w:val="1013"/>
        </w:numPr>
      </w:pPr>
      <w:r>
        <w:t xml:space="preserve">FY2027 revenue or EPS guidance below consensus</w:t>
      </w:r>
    </w:p>
    <w:p>
      <w:pPr>
        <w:pStyle w:val="Compact"/>
        <w:numPr>
          <w:ilvl w:val="0"/>
          <w:numId w:val="1013"/>
        </w:numPr>
      </w:pPr>
      <w:r>
        <w:t xml:space="preserve">Increased uncertainty around UniFirst regulatory approval or timing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Cintas’ fundamental setup remains strong: recurring revenue, record retention, steady pricing, significant cross-selling potential and proven operational execution. The challenge is that consensus already assumes the company lands near the top of its Q4 guidance.</w:t>
      </w:r>
    </w:p>
    <w:p>
      <w:pPr>
        <w:pStyle w:val="BodyText"/>
      </w:pPr>
      <w:r>
        <w:t xml:space="preserve">The most important figure tomorrow may not be reported EPS. It will be the combination of</w:t>
      </w:r>
      <w:r>
        <w:t xml:space="preserve"> </w:t>
      </w:r>
      <w:r>
        <w:rPr>
          <w:b/>
          <w:bCs/>
        </w:rPr>
        <w:t xml:space="preserve">organic growth, incremental margin and the initial FY2027 outlook</w:t>
      </w:r>
      <w:r>
        <w:t xml:space="preserve">. A clean Q4 beat accompanied by another double-digit EPS-growth guide would reinforce the premium-compounder thesis. Conversely, an in-line quarter paired with cautious FY2027 guidance could pressure the shares, particularly at a roughly 34-times forward multiple.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https://dafinchi.ai/blog?utm_source=openai" TargetMode="External" /><Relationship Type="http://schemas.openxmlformats.org/officeDocument/2006/relationships/hyperlink" Id="rId16" Target="https://fortune.com/company/cintas/earnings/q3-2026/?utm_source=openai" TargetMode="External" /><Relationship Type="http://schemas.openxmlformats.org/officeDocument/2006/relationships/hyperlink" Id="rId24" Target="https://tradewithmaya.com/trade/ctas?utm_source=openai" TargetMode="External" /><Relationship Type="http://schemas.openxmlformats.org/officeDocument/2006/relationships/hyperlink" Id="rId19" Target="https://www.boursorama.com/cours/consensus/CTAS/?utm_source=openai" TargetMode="External" /><Relationship Type="http://schemas.openxmlformats.org/officeDocument/2006/relationships/hyperlink" Id="rId21" Target="https://www.cintas.com/about/newsroom/details/news/2026/03/11/cintas-to-acquire-unifirst-in-5.5-billion-transaction-that-expands-service-capabilities-enhances-workday-solutions-and-advances-industry-innovation/?utm_source=openai" TargetMode="External" /><Relationship Type="http://schemas.openxmlformats.org/officeDocument/2006/relationships/hyperlink" Id="rId11" Target="https://www.cintas.com/about/newsroom/details/news/2026/03/25/cintas-corporation-announces-fiscal-2026-third-quarter-results/?utm_source=openai" TargetMode="External" /><Relationship Type="http://schemas.openxmlformats.org/officeDocument/2006/relationships/hyperlink" Id="rId22" Target="https://www.sec.gov/Archives/edgar/data/723254/000095010326008890/dp248355_8k.htm" TargetMode="External" /><Relationship Type="http://schemas.openxmlformats.org/officeDocument/2006/relationships/hyperlink" Id="rId13" Target="https://www.tipranks.com/stocks/ctas/earnings?utm_source=openai" TargetMode="External" /><Relationship Type="http://schemas.openxmlformats.org/officeDocument/2006/relationships/hyperlink" Id="rId10" Target="https://www.zacks.com/stock/news/2951495/cintas-ctas-q4-earnings-preview-what-you-should-know-beyond-the-headline-estimate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dafinchi.ai/blog?utm_source=openai" TargetMode="External" /><Relationship Type="http://schemas.openxmlformats.org/officeDocument/2006/relationships/hyperlink" Id="rId16" Target="https://fortune.com/company/cintas/earnings/q3-2026/?utm_source=openai" TargetMode="External" /><Relationship Type="http://schemas.openxmlformats.org/officeDocument/2006/relationships/hyperlink" Id="rId24" Target="https://tradewithmaya.com/trade/ctas?utm_source=openai" TargetMode="External" /><Relationship Type="http://schemas.openxmlformats.org/officeDocument/2006/relationships/hyperlink" Id="rId19" Target="https://www.boursorama.com/cours/consensus/CTAS/?utm_source=openai" TargetMode="External" /><Relationship Type="http://schemas.openxmlformats.org/officeDocument/2006/relationships/hyperlink" Id="rId21" Target="https://www.cintas.com/about/newsroom/details/news/2026/03/11/cintas-to-acquire-unifirst-in-5.5-billion-transaction-that-expands-service-capabilities-enhances-workday-solutions-and-advances-industry-innovation/?utm_source=openai" TargetMode="External" /><Relationship Type="http://schemas.openxmlformats.org/officeDocument/2006/relationships/hyperlink" Id="rId11" Target="https://www.cintas.com/about/newsroom/details/news/2026/03/25/cintas-corporation-announces-fiscal-2026-third-quarter-results/?utm_source=openai" TargetMode="External" /><Relationship Type="http://schemas.openxmlformats.org/officeDocument/2006/relationships/hyperlink" Id="rId22" Target="https://www.sec.gov/Archives/edgar/data/723254/000095010326008890/dp248355_8k.htm" TargetMode="External" /><Relationship Type="http://schemas.openxmlformats.org/officeDocument/2006/relationships/hyperlink" Id="rId13" Target="https://www.tipranks.com/stocks/ctas/earnings?utm_source=openai" TargetMode="External" /><Relationship Type="http://schemas.openxmlformats.org/officeDocument/2006/relationships/hyperlink" Id="rId10" Target="https://www.zacks.com/stock/news/2951495/cintas-ctas-q4-earnings-preview-what-you-should-know-beyond-the-headline-estimate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2026-07-15T00:27:06Z</dcterms:created>
  <dcterms:modified xsi:type="dcterms:W3CDTF">2026-07-15T00:27:06Z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