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as-earnings-predictions--2026-07-15"/>
    <w:p>
      <w:pPr>
        <w:pStyle w:val="Heading1"/>
      </w:pPr>
      <w:r>
        <w:t xml:space="preserve">CTAS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~$2.89B vs. cons $2.87B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~$1.28 vs. cons $1.25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organic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~7.8% vs. cons 7.6%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~$11.98B vs. cons $12.05B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~$5.33 vs. cons $5.49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UniFirst closing timetable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~2H 2026 vs. cons 2H 2026 (calendar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Q4 EPS beat of ~$1.28 versus</w:t>
            </w:r>
            <w:r>
              <w:t xml:space="preserve"> </w:t>
            </w:r>
            <m:oMath>
              <m:r>
                <m:t>1.25</m:t>
              </m:r>
              <m:r>
                <m:t>i</m:t>
              </m:r>
              <m:r>
                <m:t>s</m:t>
              </m:r>
              <m:r>
                <m:t>u</m:t>
              </m:r>
              <m:r>
                <m:t>n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2027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5.33 versus</w:t>
            </w:r>
            <w:r>
              <w:t xml:space="preserve"> </w:t>
            </w:r>
            <m:oMath>
              <m:r>
                <m:t>5.49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0.16 out-period reset should drive estimate cuts and valuation de-rating even if core organic growth is near 7.8% versus 7.6%.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2026-07-15T00:26:32Z</dcterms:created>
  <dcterms:modified xsi:type="dcterms:W3CDTF">2026-07-15T00:26:32Z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