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e566ecf475d37add51c7809dcabf7557805638f"/>
    <w:p>
      <w:pPr>
        <w:pStyle w:val="Heading1"/>
      </w:pPr>
      <w:r>
        <w:t xml:space="preserve">Cintas (NASDAQ: CTAS) — FY2026 Q4 Earnings Preview</w:t>
      </w:r>
    </w:p>
    <w:p>
      <w:pPr>
        <w:pStyle w:val="FirstParagraph"/>
      </w:pPr>
      <w:r>
        <w:rPr>
          <w:b/>
          <w:bCs/>
        </w:rPr>
        <w:t xml:space="preserve">Event:</w:t>
      </w:r>
      <w:r>
        <w:t xml:space="preserve"> </w:t>
      </w:r>
      <w:r>
        <w:t xml:space="preserve">Fiscal 2026 fourth-quarter earnings call —</w:t>
      </w:r>
      <w:r>
        <w:t xml:space="preserve"> </w:t>
      </w:r>
      <w:r>
        <w:rPr>
          <w:b/>
          <w:bCs/>
        </w:rPr>
        <w:t xml:space="preserve">July 15, 2026</w:t>
      </w:r>
      <w:r>
        <w:br/>
      </w:r>
      <w:r>
        <w:rPr>
          <w:b/>
          <w:bCs/>
        </w:rPr>
        <w:t xml:space="preserve">Fiscal quarter ended:</w:t>
      </w:r>
      <w:r>
        <w:t xml:space="preserve"> </w:t>
      </w:r>
      <w:r>
        <w:t xml:space="preserve">May 31, 2026</w:t>
      </w:r>
    </w:p>
    <w:bookmarkStart w:id="9" w:name="bottom-line"/>
    <w:p>
      <w:pPr>
        <w:pStyle w:val="Heading2"/>
      </w:pPr>
      <w:r>
        <w:t xml:space="preserve">Bottom line</w:t>
      </w:r>
    </w:p>
    <w:p>
      <w:pPr>
        <w:pStyle w:val="FirstParagraph"/>
      </w:pPr>
      <w:r>
        <w:t xml:space="preserve">Cintas enters its fiscal-year-end report with its core operating story intact: sustained high-single-digit organic growth, record customer retention, healthy pricing, and structurally elevated margins. The principal near-term question is not whether the company delivers a solid Q4, but whether it can</w:t>
      </w:r>
      <w:r>
        <w:t xml:space="preserve"> </w:t>
      </w:r>
      <w:r>
        <w:rPr>
          <w:b/>
          <w:bCs/>
        </w:rPr>
        <w:t xml:space="preserve">close FY2026 at the high end of guidance while preserving confidence in the FY2027 margin and earnings algorithm</w:t>
      </w:r>
      <w:r>
        <w:t xml:space="preserve"> </w:t>
      </w:r>
      <w:r>
        <w:t xml:space="preserve">amid rising fuel, tariff, and investment pressures.</w:t>
      </w:r>
    </w:p>
    <w:p>
      <w:pPr>
        <w:pStyle w:val="BodyText"/>
      </w:pPr>
      <w:r>
        <w:t xml:space="preserve">The other—and likely more consequential—topic is the pending</w:t>
      </w:r>
      <w:r>
        <w:t xml:space="preserve"> </w:t>
      </w:r>
      <m:oMath>
        <m:r>
          <m:t>5.5</m:t>
        </m:r>
        <m:r>
          <m:t>b</m:t>
        </m:r>
        <m:r>
          <m:t>i</m:t>
        </m:r>
        <m:r>
          <m:t>l</m:t>
        </m:r>
        <m:r>
          <m:t>l</m:t>
        </m:r>
        <m:r>
          <m:t>i</m:t>
        </m:r>
        <m:r>
          <m:t>o</m:t>
        </m:r>
        <m:r>
          <m:t>n</m:t>
        </m:r>
        <m:r>
          <m:t>U</m:t>
        </m:r>
        <m:r>
          <m:t>n</m:t>
        </m:r>
        <m:r>
          <m:t>i</m:t>
        </m:r>
        <m:r>
          <m:t>F</m:t>
        </m:r>
        <m:r>
          <m:t>i</m:t>
        </m:r>
        <m:r>
          <m:t>r</m:t>
        </m:r>
        <m:r>
          <m:t>s</m:t>
        </m:r>
        <m:r>
          <m:t>t</m:t>
        </m:r>
        <m:r>
          <m:t>a</m:t>
        </m:r>
        <m:r>
          <m:t>c</m:t>
        </m:r>
        <m:r>
          <m:t>q</m:t>
        </m:r>
        <m:r>
          <m:t>u</m:t>
        </m:r>
        <m:r>
          <m:t>i</m:t>
        </m:r>
        <m:r>
          <m:t>s</m:t>
        </m:r>
        <m:r>
          <m:t>i</m:t>
        </m:r>
        <m:r>
          <m:t>t</m:t>
        </m:r>
        <m:r>
          <m:t>i</m:t>
        </m:r>
        <m:r>
          <m:t>o</m:t>
        </m:r>
        <m:r>
          <m:t>n</m:t>
        </m:r>
        <m:r>
          <m:rPr>
            <m:sty m:val="p"/>
          </m:rPr>
          <m:t>*</m:t>
        </m:r>
        <m:r>
          <m:rPr>
            <m:sty m:val="p"/>
          </m:rPr>
          <m:t>*</m:t>
        </m:r>
        <m:r>
          <m:rPr>
            <m:sty m:val="p"/>
          </m:rPr>
          <m:t>.</m:t>
        </m:r>
        <m:r>
          <m:t>U</m:t>
        </m:r>
        <m:r>
          <m:t>n</m:t>
        </m:r>
        <m:r>
          <m:t>i</m:t>
        </m:r>
        <m:r>
          <m:t>F</m:t>
        </m:r>
        <m:r>
          <m:t>i</m:t>
        </m:r>
        <m:r>
          <m:t>r</m:t>
        </m:r>
        <m:r>
          <m:t>s</m:t>
        </m:r>
        <m:r>
          <m:t>t</m:t>
        </m:r>
        <m:r>
          <m:t>s</m:t>
        </m:r>
        <m:r>
          <m:t>h</m:t>
        </m:r>
        <m:r>
          <m:t>a</m:t>
        </m:r>
        <m:r>
          <m:t>r</m:t>
        </m:r>
        <m:r>
          <m:t>e</m:t>
        </m:r>
        <m:r>
          <m:t>h</m:t>
        </m:r>
        <m:r>
          <m:t>o</m:t>
        </m:r>
        <m:r>
          <m:t>l</m:t>
        </m:r>
        <m:r>
          <m:t>d</m:t>
        </m:r>
        <m:r>
          <m:t>e</m:t>
        </m:r>
        <m:r>
          <m:t>r</m:t>
        </m:r>
        <m:r>
          <m:t>s</m:t>
        </m:r>
        <m:r>
          <m:t>h</m:t>
        </m:r>
        <m:r>
          <m:t>a</m:t>
        </m:r>
        <m:r>
          <m:t>v</m:t>
        </m:r>
        <m:r>
          <m:t>e</m:t>
        </m:r>
        <m:r>
          <m:t>a</m:t>
        </m:r>
        <m:r>
          <m:t>p</m:t>
        </m:r>
        <m:r>
          <m:t>p</m:t>
        </m:r>
        <m:r>
          <m:t>r</m:t>
        </m:r>
        <m:r>
          <m:t>o</m:t>
        </m:r>
        <m:r>
          <m:t>v</m:t>
        </m:r>
        <m:r>
          <m:t>e</m:t>
        </m:r>
        <m:r>
          <m:t>d</m:t>
        </m:r>
        <m:r>
          <m:t>t</m:t>
        </m:r>
        <m:r>
          <m:t>h</m:t>
        </m:r>
        <m:r>
          <m:t>e</m:t>
        </m:r>
        <m:r>
          <m:t>t</m:t>
        </m:r>
        <m:r>
          <m:t>r</m:t>
        </m:r>
        <m:r>
          <m:t>a</m:t>
        </m:r>
        <m:r>
          <m:t>n</m:t>
        </m:r>
        <m:r>
          <m:t>s</m:t>
        </m:r>
        <m:r>
          <m:t>a</m:t>
        </m:r>
        <m:r>
          <m:t>c</m:t>
        </m:r>
        <m:r>
          <m:t>t</m:t>
        </m:r>
        <m:r>
          <m:t>i</m:t>
        </m:r>
        <m:r>
          <m:t>o</m:t>
        </m:r>
        <m:r>
          <m:t>n</m:t>
        </m:r>
        <m:r>
          <m:rPr>
            <m:sty m:val="p"/>
          </m:rPr>
          <m:t>,</m:t>
        </m:r>
        <m:r>
          <m:t>b</m:t>
        </m:r>
        <m:r>
          <m:t>u</m:t>
        </m:r>
        <m:r>
          <m:t>t</m:t>
        </m:r>
        <m:r>
          <m:t>t</m:t>
        </m:r>
        <m:r>
          <m:t>h</m:t>
        </m:r>
        <m:r>
          <m:t>e</m:t>
        </m:r>
        <m:r>
          <m:t>F</m:t>
        </m:r>
        <m:r>
          <m:t>T</m:t>
        </m:r>
        <m:r>
          <m:t>C</m:t>
        </m:r>
        <m:r>
          <m:t>i</m:t>
        </m:r>
        <m:r>
          <m:t>s</m:t>
        </m:r>
        <m:r>
          <m:t>s</m:t>
        </m:r>
        <m:r>
          <m:t>u</m:t>
        </m:r>
        <m:r>
          <m:t>e</m:t>
        </m:r>
        <m:r>
          <m:t>d</m:t>
        </m:r>
        <m:r>
          <m:t>a</m:t>
        </m:r>
        <m:r>
          <m:t>S</m:t>
        </m:r>
        <m:r>
          <m:t>e</m:t>
        </m:r>
        <m:r>
          <m:t>c</m:t>
        </m:r>
        <m:r>
          <m:t>o</m:t>
        </m:r>
        <m:r>
          <m:t>n</m:t>
        </m:r>
        <m:r>
          <m:t>d</m:t>
        </m:r>
        <m:r>
          <m:t>R</m:t>
        </m:r>
        <m:r>
          <m:t>e</m:t>
        </m:r>
        <m:r>
          <m:t>q</m:t>
        </m:r>
        <m:r>
          <m:t>u</m:t>
        </m:r>
        <m:r>
          <m:t>e</m:t>
        </m:r>
        <m:r>
          <m:t>s</m:t>
        </m:r>
        <m:r>
          <m:t>t</m:t>
        </m:r>
        <m:r>
          <m:t>o</m:t>
        </m:r>
        <m:r>
          <m:t>n</m:t>
        </m:r>
        <m:r>
          <m:t>J</m:t>
        </m:r>
        <m:r>
          <m:t>u</m:t>
        </m:r>
        <m:r>
          <m:t>n</m:t>
        </m:r>
        <m:r>
          <m:t>e</m:t>
        </m:r>
        <m:r>
          <m:t>11</m:t>
        </m:r>
        <m:r>
          <m:rPr>
            <m:sty m:val="p"/>
          </m:rPr>
          <m:t>,</m:t>
        </m:r>
        <m:r>
          <m:t>e</m:t>
        </m:r>
        <m:r>
          <m:t>x</m:t>
        </m:r>
        <m:r>
          <m:t>t</m:t>
        </m:r>
        <m:r>
          <m:t>e</m:t>
        </m:r>
        <m:r>
          <m:t>n</m:t>
        </m:r>
        <m:r>
          <m:t>d</m:t>
        </m:r>
        <m:r>
          <m:t>i</m:t>
        </m:r>
        <m:r>
          <m:t>n</m:t>
        </m:r>
        <m:r>
          <m:t>g</m:t>
        </m:r>
        <m:r>
          <m:t>t</m:t>
        </m:r>
        <m:r>
          <m:t>h</m:t>
        </m:r>
        <m:r>
          <m:t>e</m:t>
        </m:r>
        <m:r>
          <m:t>H</m:t>
        </m:r>
        <m:r>
          <m:t>S</m:t>
        </m:r>
        <m:r>
          <m:t>R</m:t>
        </m:r>
        <m:r>
          <m:t>r</m:t>
        </m:r>
        <m:r>
          <m:t>e</m:t>
        </m:r>
        <m:r>
          <m:t>v</m:t>
        </m:r>
        <m:r>
          <m:t>i</m:t>
        </m:r>
        <m:r>
          <m:t>e</m:t>
        </m:r>
        <m:r>
          <m:t>w</m:t>
        </m:r>
        <m:r>
          <m:rPr>
            <m:sty m:val="p"/>
          </m:rPr>
          <m:t>.</m:t>
        </m:r>
        <m:r>
          <m:t>M</m:t>
        </m:r>
        <m:r>
          <m:t>a</m:t>
        </m:r>
        <m:r>
          <m:t>n</m:t>
        </m:r>
        <m:r>
          <m:t>a</m:t>
        </m:r>
        <m:r>
          <m:t>g</m:t>
        </m:r>
        <m:r>
          <m:t>e</m:t>
        </m:r>
        <m:r>
          <m:t>m</m:t>
        </m:r>
        <m:r>
          <m:t>e</m:t>
        </m:r>
        <m:r>
          <m:t>n</m:t>
        </m:r>
        <m:r>
          <m:t>t</m:t>
        </m:r>
        <m:r>
          <m:t>s</m:t>
        </m:r>
        <m:r>
          <m:t>t</m:t>
        </m:r>
        <m:r>
          <m:t>i</m:t>
        </m:r>
        <m:r>
          <m:t>l</m:t>
        </m:r>
        <m:r>
          <m:t>l</m:t>
        </m:r>
        <m:r>
          <m:t>e</m:t>
        </m:r>
        <m:r>
          <m:t>x</m:t>
        </m:r>
        <m:r>
          <m:t>p</m:t>
        </m:r>
        <m:r>
          <m:t>e</m:t>
        </m:r>
        <m:r>
          <m:t>c</m:t>
        </m:r>
        <m:r>
          <m:t>t</m:t>
        </m:r>
        <m:r>
          <m:t>s</m:t>
        </m:r>
        <m:r>
          <m:t>c</m:t>
        </m:r>
        <m:r>
          <m:t>l</m:t>
        </m:r>
        <m:r>
          <m:t>o</m:t>
        </m:r>
        <m:r>
          <m:t>s</m:t>
        </m:r>
        <m:r>
          <m:t>i</m:t>
        </m:r>
        <m:r>
          <m:t>n</m:t>
        </m:r>
        <m:r>
          <m:t>g</m:t>
        </m:r>
        <m:r>
          <m:t>i</m:t>
        </m:r>
        <m:r>
          <m:t>n</m:t>
        </m:r>
        <m:r>
          <m:t>t</m:t>
        </m:r>
        <m:r>
          <m:t>h</m:t>
        </m:r>
        <m:r>
          <m:t>e</m:t>
        </m:r>
        <m:r>
          <m:t>s</m:t>
        </m:r>
        <m:r>
          <m:t>e</m:t>
        </m:r>
        <m:r>
          <m:t>c</m:t>
        </m:r>
        <m:r>
          <m:t>o</m:t>
        </m:r>
        <m:r>
          <m:t>n</m:t>
        </m:r>
        <m:r>
          <m:t>d</m:t>
        </m:r>
        <m:r>
          <m:t>h</m:t>
        </m:r>
        <m:r>
          <m:t>a</m:t>
        </m:r>
        <m:r>
          <m:t>l</m:t>
        </m:r>
        <m:r>
          <m:t>f</m:t>
        </m:r>
        <m:r>
          <m:t>o</m:t>
        </m:r>
        <m:r>
          <m:t>f</m:t>
        </m:r>
        <m:r>
          <m:t>c</m:t>
        </m:r>
        <m:r>
          <m:t>a</m:t>
        </m:r>
        <m:r>
          <m:t>l</m:t>
        </m:r>
        <m:r>
          <m:t>e</m:t>
        </m:r>
        <m:r>
          <m:t>n</m:t>
        </m:r>
        <m:r>
          <m:t>d</m:t>
        </m:r>
        <m:r>
          <m:t>a</m:t>
        </m:r>
        <m:r>
          <m:t>r</m:t>
        </m:r>
        <m:r>
          <m:t>2026</m:t>
        </m:r>
        <m:r>
          <m:rPr>
            <m:sty m:val="p"/>
          </m:rPr>
          <m:t>.</m:t>
        </m:r>
        <m:r>
          <m:t>I</m:t>
        </m:r>
        <m:r>
          <m:t>n</m:t>
        </m:r>
        <m:r>
          <m:t>v</m:t>
        </m:r>
        <m:r>
          <m:t>e</m:t>
        </m:r>
        <m:r>
          <m:t>s</m:t>
        </m:r>
        <m:r>
          <m:t>t</m:t>
        </m:r>
        <m:r>
          <m:t>o</m:t>
        </m:r>
        <m:r>
          <m:t>r</m:t>
        </m:r>
        <m:r>
          <m:t>s</m:t>
        </m:r>
        <m:r>
          <m:t>w</m:t>
        </m:r>
        <m:r>
          <m:t>i</m:t>
        </m:r>
        <m:r>
          <m:t>l</m:t>
        </m:r>
        <m:r>
          <m:t>l</m:t>
        </m:r>
        <m:r>
          <m:t>f</m:t>
        </m:r>
        <m:r>
          <m:t>o</m:t>
        </m:r>
        <m:r>
          <m:t>c</m:t>
        </m:r>
        <m:r>
          <m:t>u</m:t>
        </m:r>
        <m:r>
          <m:t>s</m:t>
        </m:r>
        <m:r>
          <m:t>o</m:t>
        </m:r>
        <m:r>
          <m:t>n</m:t>
        </m:r>
        <m:r>
          <m:t>t</m:t>
        </m:r>
        <m:r>
          <m:t>h</m:t>
        </m:r>
        <m:r>
          <m:t>e</m:t>
        </m:r>
        <m:r>
          <m:t>r</m:t>
        </m:r>
        <m:r>
          <m:t>e</m:t>
        </m:r>
        <m:r>
          <m:t>g</m:t>
        </m:r>
        <m:r>
          <m:t>u</m:t>
        </m:r>
        <m:r>
          <m:t>l</m:t>
        </m:r>
        <m:r>
          <m:t>a</m:t>
        </m:r>
        <m:r>
          <m:t>t</m:t>
        </m:r>
        <m:r>
          <m:t>o</m:t>
        </m:r>
        <m:r>
          <m:t>r</m:t>
        </m:r>
        <m:r>
          <m:t>y</m:t>
        </m:r>
        <m:r>
          <m:t>t</m:t>
        </m:r>
        <m:r>
          <m:t>i</m:t>
        </m:r>
        <m:r>
          <m:t>m</m:t>
        </m:r>
        <m:r>
          <m:t>e</m:t>
        </m:r>
        <m:r>
          <m:t>t</m:t>
        </m:r>
        <m:r>
          <m:t>a</m:t>
        </m:r>
        <m:r>
          <m:t>b</m:t>
        </m:r>
        <m:r>
          <m:t>l</m:t>
        </m:r>
        <m:r>
          <m:t>e</m:t>
        </m:r>
        <m:r>
          <m:rPr>
            <m:sty m:val="p"/>
          </m:rPr>
          <m:t>,</m:t>
        </m:r>
        <m:r>
          <m:t>p</m:t>
        </m:r>
        <m:r>
          <m:t>o</m:t>
        </m:r>
        <m:r>
          <m:t>t</m:t>
        </m:r>
        <m:r>
          <m:t>e</m:t>
        </m:r>
        <m:r>
          <m:t>n</m:t>
        </m:r>
        <m:r>
          <m:t>t</m:t>
        </m:r>
        <m:r>
          <m:t>i</m:t>
        </m:r>
        <m:r>
          <m:t>a</m:t>
        </m:r>
        <m:r>
          <m:t>l</m:t>
        </m:r>
        <m:r>
          <m:t>r</m:t>
        </m:r>
        <m:r>
          <m:t>e</m:t>
        </m:r>
        <m:r>
          <m:t>m</m:t>
        </m:r>
        <m:r>
          <m:t>e</m:t>
        </m:r>
        <m:r>
          <m:t>d</m:t>
        </m:r>
        <m:r>
          <m:t>i</m:t>
        </m:r>
        <m:r>
          <m:t>e</m:t>
        </m:r>
        <m:r>
          <m:t>s</m:t>
        </m:r>
        <m:r>
          <m:rPr>
            <m:sty m:val="p"/>
          </m:rPr>
          <m:t>,</m:t>
        </m:r>
        <m:r>
          <m:t>f</m:t>
        </m:r>
        <m:r>
          <m:t>i</m:t>
        </m:r>
        <m:r>
          <m:t>n</m:t>
        </m:r>
        <m:r>
          <m:t>a</m:t>
        </m:r>
        <m:r>
          <m:t>n</m:t>
        </m:r>
        <m:r>
          <m:t>c</m:t>
        </m:r>
        <m:r>
          <m:t>i</m:t>
        </m:r>
        <m:r>
          <m:t>n</m:t>
        </m:r>
        <m:r>
          <m:t>g</m:t>
        </m:r>
        <m:r>
          <m:rPr>
            <m:sty m:val="p"/>
          </m:rPr>
          <m:t>/</m:t>
        </m:r>
        <m:r>
          <m:t>c</m:t>
        </m:r>
        <m:r>
          <m:t>a</m:t>
        </m:r>
        <m:r>
          <m:t>p</m:t>
        </m:r>
        <m:r>
          <m:t>i</m:t>
        </m:r>
        <m:r>
          <m:t>t</m:t>
        </m:r>
        <m:r>
          <m:t>a</m:t>
        </m:r>
        <m:r>
          <m:t>l</m:t>
        </m:r>
        <m:r>
          <m:rPr>
            <m:sty m:val="p"/>
          </m:rPr>
          <m:t>−</m:t>
        </m:r>
        <m:r>
          <m:t>a</m:t>
        </m:r>
        <m:r>
          <m:t>l</m:t>
        </m:r>
        <m:r>
          <m:t>l</m:t>
        </m:r>
        <m:r>
          <m:t>o</m:t>
        </m:r>
        <m:r>
          <m:t>c</m:t>
        </m:r>
        <m:r>
          <m:t>a</m:t>
        </m:r>
        <m:r>
          <m:t>t</m:t>
        </m:r>
        <m:r>
          <m:t>i</m:t>
        </m:r>
        <m:r>
          <m:t>o</m:t>
        </m:r>
        <m:r>
          <m:t>n</m:t>
        </m:r>
        <m:r>
          <m:t>i</m:t>
        </m:r>
        <m:r>
          <m:t>m</m:t>
        </m:r>
        <m:r>
          <m:t>p</m:t>
        </m:r>
        <m:r>
          <m:t>l</m:t>
        </m:r>
        <m:r>
          <m:t>i</m:t>
        </m:r>
        <m:r>
          <m:t>c</m:t>
        </m:r>
        <m:r>
          <m:t>a</m:t>
        </m:r>
        <m:r>
          <m:t>t</m:t>
        </m:r>
        <m:r>
          <m:t>i</m:t>
        </m:r>
        <m:r>
          <m:t>o</m:t>
        </m:r>
        <m:r>
          <m:t>n</m:t>
        </m:r>
        <m:r>
          <m:t>s</m:t>
        </m:r>
        <m:r>
          <m:rPr>
            <m:sty m:val="p"/>
          </m:rPr>
          <m:t>,</m:t>
        </m:r>
        <m:r>
          <m:t>a</m:t>
        </m:r>
        <m:r>
          <m:t>n</m:t>
        </m:r>
        <m:r>
          <m:t>d</m:t>
        </m:r>
        <m:r>
          <m:t>w</m:t>
        </m:r>
        <m:r>
          <m:t>h</m:t>
        </m:r>
        <m:r>
          <m:t>e</m:t>
        </m:r>
        <m:r>
          <m:t>t</m:t>
        </m:r>
        <m:r>
          <m:t>h</m:t>
        </m:r>
        <m:r>
          <m:t>e</m:t>
        </m:r>
        <m:r>
          <m:t>r</m:t>
        </m:r>
        <m:r>
          <m:t>t</m:t>
        </m:r>
        <m:r>
          <m:t>h</m:t>
        </m:r>
        <m:r>
          <m:t>e</m:t>
        </m:r>
        <m:r>
          <m:t>a</m:t>
        </m:r>
        <m:r>
          <m:t>n</m:t>
        </m:r>
        <m:r>
          <m:t>t</m:t>
        </m:r>
        <m:r>
          <m:t>i</m:t>
        </m:r>
        <m:r>
          <m:t>c</m:t>
        </m:r>
        <m:r>
          <m:t>i</m:t>
        </m:r>
        <m:r>
          <m:t>p</m:t>
        </m:r>
        <m:r>
          <m:t>a</m:t>
        </m:r>
        <m:r>
          <m:t>t</m:t>
        </m:r>
        <m:r>
          <m:t>e</m:t>
        </m:r>
        <m:r>
          <m:t>d</m:t>
        </m:r>
        <m:r>
          <m:rPr>
            <m:sty m:val="p"/>
          </m:rPr>
          <m:t>*</m:t>
        </m:r>
        <m:r>
          <m:rPr>
            <m:sty m:val="p"/>
          </m:rPr>
          <m:t>*</m:t>
        </m:r>
      </m:oMath>
      <w:r>
        <w:rPr>
          <w:b/>
          <w:bCs/>
        </w:rPr>
        <w:t xml:space="preserve">375 million of cost synergies</w:t>
      </w:r>
      <w:r>
        <w:t xml:space="preserve"> </w:t>
      </w:r>
      <w:r>
        <w:t xml:space="preserve">remain intact.</w:t>
      </w:r>
    </w:p>
    <w:bookmarkEnd w:id="9"/>
    <w:bookmarkStart w:id="10" w:name="what-is-embedded-in-company-guidance"/>
    <w:p>
      <w:pPr>
        <w:pStyle w:val="Heading2"/>
      </w:pPr>
      <w:r>
        <w:t xml:space="preserve">What is embedded in company guidance?</w:t>
      </w:r>
    </w:p>
    <w:p>
      <w:pPr>
        <w:pStyle w:val="FirstParagraph"/>
      </w:pPr>
      <w:r>
        <w:t xml:space="preserve">At Q3, Cintas raised FY2026 guidance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FY2026 guidance</w:t>
            </w:r>
          </w:p>
        </w:tc>
        <w:tc>
          <w:tcPr/>
          <w:p>
            <w:pPr>
              <w:pStyle w:val="Compact"/>
              <w:jc w:val="right"/>
            </w:pPr>
            <w:r>
              <w:t xml:space="preserve">Company outlook</w:t>
            </w:r>
          </w:p>
        </w:tc>
        <w:tc>
          <w:tcPr/>
          <w:p>
            <w:pPr>
              <w:pStyle w:val="Compact"/>
              <w:jc w:val="right"/>
            </w:pPr>
            <w:r>
              <w:t xml:space="preserve">Implied Q4 outcome*</w:t>
            </w:r>
          </w:p>
        </w:tc>
      </w:tr>
      <w:tr>
        <w:tc>
          <w:tcPr/>
          <w:p>
            <w:pPr>
              <w:pStyle w:val="Compact"/>
            </w:pPr>
            <w:r>
              <w:t xml:space="preserve">Revenue</w:t>
            </w:r>
          </w:p>
        </w:tc>
        <w:tc>
          <w:tcPr/>
          <w:p>
            <w:pPr>
              <w:pStyle w:val="Compact"/>
              <w:jc w:val="right"/>
            </w:pPr>
            <m:oMath>
              <m:r>
                <m:t>11.21</m:t>
              </m:r>
              <m:r>
                <m:t>B</m:t>
              </m:r>
              <m:r>
                <m:rPr>
                  <m:sty m:val="p"/>
                </m:rPr>
                <m:t>–</m:t>
              </m:r>
            </m:oMath>
            <w:r>
              <w:rPr>
                <w:b/>
                <w:bCs/>
              </w:rPr>
              <w:t xml:space="preserve">11.24B</w:t>
            </w:r>
          </w:p>
        </w:tc>
        <w:tc>
          <w:tcPr/>
          <w:p>
            <w:pPr>
              <w:pStyle w:val="Compact"/>
              <w:jc w:val="right"/>
            </w:pPr>
            <m:oMath>
              <m:r>
                <m:t>2.85</m:t>
              </m:r>
              <m:r>
                <m:t>B</m:t>
              </m:r>
              <m:r>
                <m:rPr>
                  <m:sty m:val="p"/>
                </m:rPr>
                <m:t>–</m:t>
              </m:r>
            </m:oMath>
            <w:r>
              <w:rPr>
                <w:b/>
                <w:bCs/>
              </w:rPr>
              <w:t xml:space="preserve">2.88B</w:t>
            </w:r>
          </w:p>
        </w:tc>
      </w:tr>
      <w:tr>
        <w:tc>
          <w:tcPr/>
          <w:p>
            <w:pPr>
              <w:pStyle w:val="Compact"/>
            </w:pPr>
            <w:r>
              <w:t xml:space="preserve">Adjusted diluted EPS</w:t>
            </w:r>
          </w:p>
        </w:tc>
        <w:tc>
          <w:tcPr/>
          <w:p>
            <w:pPr>
              <w:pStyle w:val="Compact"/>
              <w:jc w:val="right"/>
            </w:pPr>
            <m:oMath>
              <m:r>
                <m:t>4.86</m:t>
              </m:r>
              <m:r>
                <m:rPr>
                  <m:sty m:val="p"/>
                </m:rPr>
                <m:t>–</m:t>
              </m:r>
            </m:oMath>
            <w:r>
              <w:rPr>
                <w:b/>
                <w:bCs/>
              </w:rPr>
              <w:t xml:space="preserve">4.90</w:t>
            </w:r>
          </w:p>
        </w:tc>
        <w:tc>
          <w:tcPr/>
          <w:p>
            <w:pPr>
              <w:pStyle w:val="Compact"/>
              <w:jc w:val="right"/>
            </w:pPr>
            <m:oMath>
              <m:r>
                <m:t>1.21</m:t>
              </m:r>
              <m:r>
                <m:rPr>
                  <m:sty m:val="p"/>
                </m:rPr>
                <m:t>–</m:t>
              </m:r>
            </m:oMath>
            <w:r>
              <w:rPr>
                <w:b/>
                <w:bCs/>
              </w:rPr>
              <w:t xml:space="preserve">1.25</w:t>
            </w:r>
          </w:p>
        </w:tc>
      </w:tr>
      <w:tr>
        <w:tc>
          <w:tcPr/>
          <w:p>
            <w:pPr>
              <w:pStyle w:val="Compact"/>
            </w:pPr>
            <w:r>
              <w:t xml:space="preserve">Q4 revenue growth</w:t>
            </w:r>
          </w:p>
        </w:tc>
        <w:tc>
          <w:tcPr/>
          <w:p>
            <w:pPr>
              <w:pStyle w:val="Compact"/>
              <w:jc w:val="right"/>
            </w:pPr>
            <w:r>
              <w:t xml:space="preserve">—</w:t>
            </w:r>
          </w:p>
        </w:tc>
        <w:tc>
          <w:tcPr/>
          <w:p>
            <w:pPr>
              <w:pStyle w:val="Compact"/>
              <w:jc w:val="right"/>
            </w:pPr>
            <w:r>
              <w:rPr>
                <w:b/>
                <w:bCs/>
              </w:rPr>
              <w:t xml:space="preserve">~6.9%–8.0%</w:t>
            </w:r>
            <w:r>
              <w:t xml:space="preserve"> </w:t>
            </w:r>
            <w:r>
              <w:t xml:space="preserve">vs. FY2025 Q4</w:t>
            </w:r>
          </w:p>
        </w:tc>
      </w:tr>
      <w:tr>
        <w:tc>
          <w:tcPr/>
          <w:p>
            <w:pPr>
              <w:pStyle w:val="Compact"/>
            </w:pPr>
            <w:r>
              <w:t xml:space="preserve">Q4 adjusted EPS growth</w:t>
            </w:r>
          </w:p>
        </w:tc>
        <w:tc>
          <w:tcPr/>
          <w:p>
            <w:pPr>
              <w:pStyle w:val="Compact"/>
              <w:jc w:val="right"/>
            </w:pPr>
            <w:r>
              <w:t xml:space="preserve">—</w:t>
            </w:r>
          </w:p>
        </w:tc>
        <w:tc>
          <w:tcPr/>
          <w:p>
            <w:pPr>
              <w:pStyle w:val="Compact"/>
              <w:jc w:val="right"/>
            </w:pPr>
            <w:r>
              <w:rPr>
                <w:b/>
                <w:bCs/>
              </w:rPr>
              <w:t xml:space="preserve">~11%–15%</w:t>
            </w:r>
            <w:r>
              <w:t xml:space="preserve"> </w:t>
            </w:r>
            <w:r>
              <w:t xml:space="preserve">vs. FY2025 Q4 EPS of $1.09</w:t>
            </w:r>
          </w:p>
        </w:tc>
      </w:tr>
    </w:tbl>
    <w:p>
      <w:pPr>
        <w:pStyle w:val="BodyText"/>
      </w:pPr>
      <w:r>
        <w:t xml:space="preserve">*Implied Q4 figures are calculated using reported nine-month FY2026 revenue of $8.36B and diluted EPS of</w:t>
      </w:r>
      <w:r>
        <w:t xml:space="preserve"> </w:t>
      </w:r>
      <m:oMath>
        <m:r>
          <m:t>3.65</m:t>
        </m:r>
        <m:r>
          <m:rPr>
            <m:sty m:val="p"/>
          </m:rPr>
          <m:t>.</m:t>
        </m:r>
        <m:r>
          <m:t>T</m:t>
        </m:r>
        <m:r>
          <m:t>h</m:t>
        </m:r>
        <m:r>
          <m:t>e</m:t>
        </m:r>
        <m:r>
          <m:t>E</m:t>
        </m:r>
        <m:r>
          <m:t>P</m:t>
        </m:r>
        <m:r>
          <m:t>S</m:t>
        </m:r>
        <m:r>
          <m:t>g</m:t>
        </m:r>
        <m:r>
          <m:t>u</m:t>
        </m:r>
        <m:r>
          <m:t>i</m:t>
        </m:r>
        <m:r>
          <m:t>d</m:t>
        </m:r>
        <m:r>
          <m:t>a</m:t>
        </m:r>
        <m:r>
          <m:t>n</m:t>
        </m:r>
        <m:r>
          <m:t>c</m:t>
        </m:r>
        <m:r>
          <m:t>e</m:t>
        </m:r>
        <m:r>
          <m:t>e</m:t>
        </m:r>
        <m:r>
          <m:t>x</m:t>
        </m:r>
        <m:r>
          <m:t>c</m:t>
        </m:r>
        <m:r>
          <m:t>l</m:t>
        </m:r>
        <m:r>
          <m:t>u</m:t>
        </m:r>
        <m:r>
          <m:t>d</m:t>
        </m:r>
        <m:r>
          <m:t>e</m:t>
        </m:r>
        <m:r>
          <m:t>s</m:t>
        </m:r>
        <m:r>
          <m:t>e</m:t>
        </m:r>
        <m:r>
          <m:t>s</m:t>
        </m:r>
        <m:r>
          <m:t>t</m:t>
        </m:r>
        <m:r>
          <m:t>i</m:t>
        </m:r>
        <m:r>
          <m:t>m</m:t>
        </m:r>
        <m:r>
          <m:t>a</m:t>
        </m:r>
        <m:r>
          <m:t>t</m:t>
        </m:r>
        <m:r>
          <m:t>e</m:t>
        </m:r>
        <m:r>
          <m:t>d</m:t>
        </m:r>
        <m:r>
          <m:t>U</m:t>
        </m:r>
        <m:r>
          <m:t>n</m:t>
        </m:r>
        <m:r>
          <m:t>i</m:t>
        </m:r>
        <m:r>
          <m:t>F</m:t>
        </m:r>
        <m:r>
          <m:t>i</m:t>
        </m:r>
        <m:r>
          <m:t>r</m:t>
        </m:r>
        <m:r>
          <m:t>s</m:t>
        </m:r>
        <m:r>
          <m:t>t</m:t>
        </m:r>
        <m:r>
          <m:t>t</m:t>
        </m:r>
        <m:r>
          <m:t>r</m:t>
        </m:r>
        <m:r>
          <m:t>a</m:t>
        </m:r>
        <m:r>
          <m:t>n</m:t>
        </m:r>
        <m:r>
          <m:t>s</m:t>
        </m:r>
        <m:r>
          <m:t>a</m:t>
        </m:r>
        <m:r>
          <m:t>c</m:t>
        </m:r>
        <m:r>
          <m:t>t</m:t>
        </m:r>
        <m:r>
          <m:t>i</m:t>
        </m:r>
        <m:r>
          <m:t>o</m:t>
        </m:r>
        <m:r>
          <m:t>n</m:t>
        </m:r>
        <m:r>
          <m:t>c</m:t>
        </m:r>
        <m:r>
          <m:t>o</m:t>
        </m:r>
        <m:r>
          <m:t>s</m:t>
        </m:r>
        <m:r>
          <m:t>t</m:t>
        </m:r>
        <m:r>
          <m:t>s</m:t>
        </m:r>
        <m:r>
          <m:rPr>
            <m:sty m:val="p"/>
          </m:rPr>
          <m:t>;</m:t>
        </m:r>
        <m:r>
          <m:t>m</m:t>
        </m:r>
        <m:r>
          <m:t>a</m:t>
        </m:r>
        <m:r>
          <m:t>n</m:t>
        </m:r>
        <m:r>
          <m:t>a</m:t>
        </m:r>
        <m:r>
          <m:t>g</m:t>
        </m:r>
        <m:r>
          <m:t>e</m:t>
        </m:r>
        <m:r>
          <m:t>m</m:t>
        </m:r>
        <m:r>
          <m:t>e</m:t>
        </m:r>
        <m:r>
          <m:t>n</m:t>
        </m:r>
        <m:r>
          <m:t>t</m:t>
        </m:r>
        <m:r>
          <m:t>h</m:t>
        </m:r>
        <m:r>
          <m:t>a</m:t>
        </m:r>
        <m:r>
          <m:t>d</m:t>
        </m:r>
        <m:r>
          <m:t>i</m:t>
        </m:r>
        <m:r>
          <m:t>n</m:t>
        </m:r>
        <m:r>
          <m:t>d</m:t>
        </m:r>
        <m:r>
          <m:t>i</m:t>
        </m:r>
        <m:r>
          <m:t>c</m:t>
        </m:r>
        <m:r>
          <m:t>a</m:t>
        </m:r>
        <m:r>
          <m:t>t</m:t>
        </m:r>
        <m:r>
          <m:t>e</m:t>
        </m:r>
        <m:r>
          <m:t>d</m:t>
        </m:r>
        <m:r>
          <m:t>t</m:t>
        </m:r>
        <m:r>
          <m:t>h</m:t>
        </m:r>
        <m:r>
          <m:t>o</m:t>
        </m:r>
        <m:r>
          <m:t>s</m:t>
        </m:r>
        <m:r>
          <m:t>e</m:t>
        </m:r>
        <m:r>
          <m:t>c</m:t>
        </m:r>
        <m:r>
          <m:t>o</m:t>
        </m:r>
        <m:r>
          <m:t>s</m:t>
        </m:r>
        <m:r>
          <m:t>t</m:t>
        </m:r>
        <m:r>
          <m:t>s</m:t>
        </m:r>
        <m:r>
          <m:t>c</m:t>
        </m:r>
        <m:r>
          <m:t>o</m:t>
        </m:r>
        <m:r>
          <m:t>u</m:t>
        </m:r>
        <m:r>
          <m:t>l</m:t>
        </m:r>
        <m:r>
          <m:t>d</m:t>
        </m:r>
        <m:r>
          <m:t>r</m:t>
        </m:r>
        <m:r>
          <m:t>e</m:t>
        </m:r>
        <m:r>
          <m:t>d</m:t>
        </m:r>
        <m:r>
          <m:t>u</m:t>
        </m:r>
        <m:r>
          <m:t>c</m:t>
        </m:r>
        <m:r>
          <m:t>e</m:t>
        </m:r>
        <m:r>
          <m:t>r</m:t>
        </m:r>
        <m:r>
          <m:t>e</m:t>
        </m:r>
        <m:r>
          <m:t>p</m:t>
        </m:r>
        <m:r>
          <m:t>o</m:t>
        </m:r>
        <m:r>
          <m:t>r</m:t>
        </m:r>
        <m:r>
          <m:t>t</m:t>
        </m:r>
        <m:r>
          <m:t>e</m:t>
        </m:r>
        <m:r>
          <m:t>d</m:t>
        </m:r>
        <m:r>
          <m:t>Q</m:t>
        </m:r>
        <m:r>
          <m:t>4</m:t>
        </m:r>
        <m:r>
          <m:t>E</m:t>
        </m:r>
        <m:r>
          <m:t>P</m:t>
        </m:r>
        <m:r>
          <m:t>S</m:t>
        </m:r>
        <m:r>
          <m:t>b</m:t>
        </m:r>
        <m:r>
          <m:t>y</m:t>
        </m:r>
        <m:r>
          <m:t>r</m:t>
        </m:r>
        <m:r>
          <m:t>o</m:t>
        </m:r>
        <m:r>
          <m:t>u</m:t>
        </m:r>
        <m:r>
          <m:t>g</m:t>
        </m:r>
        <m:r>
          <m:t>h</m:t>
        </m:r>
        <m:r>
          <m:t>l</m:t>
        </m:r>
        <m:r>
          <m:t>y</m:t>
        </m:r>
        <m:r>
          <m:rPr>
            <m:sty m:val="p"/>
          </m:rPr>
          <m:t>*</m:t>
        </m:r>
        <m:r>
          <m:rPr>
            <m:sty m:val="p"/>
          </m:rPr>
          <m:t>*</m:t>
        </m:r>
      </m:oMath>
      <w:r>
        <w:t xml:space="preserve">0.03–$0.04**.</w:t>
      </w:r>
    </w:p>
    <w:p>
      <w:pPr>
        <w:pStyle w:val="BodyText"/>
      </w:pPr>
      <w:r>
        <w:t xml:space="preserve">This is a reasonable but not trivial setup. The implied Q4 organic-growth guide was approximately</w:t>
      </w:r>
      <w:r>
        <w:t xml:space="preserve"> </w:t>
      </w:r>
      <w:r>
        <w:rPr>
          <w:b/>
          <w:bCs/>
        </w:rPr>
        <w:t xml:space="preserve">7.6%</w:t>
      </w:r>
      <w:r>
        <w:t xml:space="preserve">, following Q3’s 8.2% organic growth. The deceleration is mostly a comparison issue rather than an apparent deterioration in the franchise: Q4 FY2025 had 9.0% organic growth, aided by unusually strong First Aid training activity and a favorable Uniform Direct Sale quarter.</w:t>
      </w:r>
    </w:p>
    <w:bookmarkEnd w:id="10"/>
    <w:bookmarkStart w:id="13" w:name="X299502c6bc128ac07d3737b438c0533456e8921"/>
    <w:p>
      <w:pPr>
        <w:pStyle w:val="Heading2"/>
      </w:pPr>
      <w:r>
        <w:t xml:space="preserve">The core debate: durability of organic growth and margins</w:t>
      </w:r>
    </w:p>
    <w:bookmarkStart w:id="11" w:name="why-the-setup-remains-favorable"/>
    <w:p>
      <w:pPr>
        <w:pStyle w:val="Heading3"/>
      </w:pPr>
      <w:r>
        <w:t xml:space="preserve">Why the setup remains favorable</w:t>
      </w:r>
    </w:p>
    <w:p>
      <w:pPr>
        <w:pStyle w:val="FirstParagraph"/>
      </w:pPr>
      <w:r>
        <w:t xml:space="preserve">Cintas’ Q3 operating trends were exceptional:</w:t>
      </w:r>
    </w:p>
    <w:p>
      <w:pPr>
        <w:pStyle w:val="Compact"/>
        <w:numPr>
          <w:ilvl w:val="0"/>
          <w:numId w:val="1001"/>
        </w:numPr>
      </w:pPr>
      <w:r>
        <w:t xml:space="preserve">Revenue grew</w:t>
      </w:r>
      <w:r>
        <w:t xml:space="preserve"> </w:t>
      </w:r>
      <w:r>
        <w:rPr>
          <w:b/>
          <w:bCs/>
        </w:rPr>
        <w:t xml:space="preserve">8.9%</w:t>
      </w:r>
      <w:r>
        <w:t xml:space="preserve"> </w:t>
      </w:r>
      <w:r>
        <w:t xml:space="preserve">to</w:t>
      </w:r>
      <w:r>
        <w:t xml:space="preserve"> </w:t>
      </w:r>
      <w:r>
        <w:rPr>
          <w:b/>
          <w:bCs/>
        </w:rPr>
        <w:t xml:space="preserve">$2.84B</w:t>
      </w:r>
      <w:r>
        <w:t xml:space="preserve">, with</w:t>
      </w:r>
      <w:r>
        <w:t xml:space="preserve"> </w:t>
      </w:r>
      <w:r>
        <w:rPr>
          <w:b/>
          <w:bCs/>
        </w:rPr>
        <w:t xml:space="preserve">8.2% organic growth</w:t>
      </w:r>
      <w:r>
        <w:t xml:space="preserve">.</w:t>
      </w:r>
    </w:p>
    <w:p>
      <w:pPr>
        <w:pStyle w:val="Compact"/>
        <w:numPr>
          <w:ilvl w:val="0"/>
          <w:numId w:val="1001"/>
        </w:numPr>
      </w:pPr>
      <w:r>
        <w:t xml:space="preserve">Total gross margin reached an all-time high of</w:t>
      </w:r>
      <w:r>
        <w:t xml:space="preserve"> </w:t>
      </w:r>
      <w:r>
        <w:rPr>
          <w:b/>
          <w:bCs/>
        </w:rPr>
        <w:t xml:space="preserve">51.0%</w:t>
      </w:r>
      <w:r>
        <w:t xml:space="preserve">, up 40 bps year over year.</w:t>
      </w:r>
    </w:p>
    <w:p>
      <w:pPr>
        <w:pStyle w:val="Compact"/>
        <w:numPr>
          <w:ilvl w:val="0"/>
          <w:numId w:val="1001"/>
        </w:numPr>
      </w:pPr>
      <w:r>
        <w:t xml:space="preserve">Uniform Rental &amp; Facility Services produced</w:t>
      </w:r>
      <w:r>
        <w:t xml:space="preserve"> </w:t>
      </w:r>
      <w:r>
        <w:rPr>
          <w:b/>
          <w:bCs/>
        </w:rPr>
        <w:t xml:space="preserve">7.3% organic growth</w:t>
      </w:r>
      <w:r>
        <w:t xml:space="preserve"> </w:t>
      </w:r>
      <w:r>
        <w:t xml:space="preserve">and a record</w:t>
      </w:r>
      <w:r>
        <w:t xml:space="preserve"> </w:t>
      </w:r>
      <w:r>
        <w:rPr>
          <w:b/>
          <w:bCs/>
        </w:rPr>
        <w:t xml:space="preserve">50.3% gross margin</w:t>
      </w:r>
      <w:r>
        <w:t xml:space="preserve">.</w:t>
      </w:r>
    </w:p>
    <w:p>
      <w:pPr>
        <w:pStyle w:val="Compact"/>
        <w:numPr>
          <w:ilvl w:val="0"/>
          <w:numId w:val="1001"/>
        </w:numPr>
      </w:pPr>
      <w:r>
        <w:t xml:space="preserve">First Aid &amp; Safety delivered</w:t>
      </w:r>
      <w:r>
        <w:t xml:space="preserve"> </w:t>
      </w:r>
      <w:r>
        <w:rPr>
          <w:b/>
          <w:bCs/>
        </w:rPr>
        <w:t xml:space="preserve">14.6% organic growth</w:t>
      </w:r>
      <w:r>
        <w:t xml:space="preserve"> </w:t>
      </w:r>
      <w:r>
        <w:t xml:space="preserve">and a record</w:t>
      </w:r>
      <w:r>
        <w:t xml:space="preserve"> </w:t>
      </w:r>
      <w:r>
        <w:rPr>
          <w:b/>
          <w:bCs/>
        </w:rPr>
        <w:t xml:space="preserve">58.1% gross margin</w:t>
      </w:r>
      <w:r>
        <w:t xml:space="preserve">.</w:t>
      </w:r>
    </w:p>
    <w:p>
      <w:pPr>
        <w:pStyle w:val="Compact"/>
        <w:numPr>
          <w:ilvl w:val="0"/>
          <w:numId w:val="1001"/>
        </w:numPr>
      </w:pPr>
      <w:r>
        <w:t xml:space="preserve">Management described retention as around</w:t>
      </w:r>
      <w:r>
        <w:t xml:space="preserve"> </w:t>
      </w:r>
      <w:r>
        <w:rPr>
          <w:b/>
          <w:bCs/>
        </w:rPr>
        <w:t xml:space="preserve">95%</w:t>
      </w:r>
      <w:r>
        <w:t xml:space="preserve">, pricing as consistent with its historical</w:t>
      </w:r>
      <w:r>
        <w:t xml:space="preserve"> </w:t>
      </w:r>
      <w:r>
        <w:rPr>
          <w:b/>
          <w:bCs/>
        </w:rPr>
        <w:t xml:space="preserve">2%–3%</w:t>
      </w:r>
      <w:r>
        <w:t xml:space="preserve"> </w:t>
      </w:r>
      <w:r>
        <w:t xml:space="preserve">range, and new-business/cross-sell trends as improving.</w:t>
      </w:r>
    </w:p>
    <w:p>
      <w:pPr>
        <w:pStyle w:val="Compact"/>
        <w:numPr>
          <w:ilvl w:val="0"/>
          <w:numId w:val="1001"/>
        </w:numPr>
      </w:pPr>
      <w:r>
        <w:t xml:space="preserve">The company continues to see especially resilient demand in health care, hospitality, education, and state/local government.</w:t>
      </w:r>
    </w:p>
    <w:p>
      <w:pPr>
        <w:pStyle w:val="FirstParagraph"/>
      </w:pPr>
      <w:r>
        <w:t xml:space="preserve">The investment implication is that Cintas’ growth is not solely tied to net employment. The company continues to convert “no-program” customers—businesses buying garments or workplace services through retail, e-commerce, or self-managed arrangements—to managed rental programs. Management has said roughly two-thirds of new customers originate from this underpenetrated market.</w:t>
      </w:r>
    </w:p>
    <w:bookmarkEnd w:id="11"/>
    <w:bookmarkStart w:id="12" w:name="what-could-disappoint"/>
    <w:p>
      <w:pPr>
        <w:pStyle w:val="Heading3"/>
      </w:pPr>
      <w:r>
        <w:t xml:space="preserve">What could disappoint</w:t>
      </w:r>
    </w:p>
    <w:p>
      <w:pPr>
        <w:pStyle w:val="FirstParagraph"/>
      </w:pPr>
      <w:r>
        <w:t xml:space="preserve">The key issue is the</w:t>
      </w:r>
      <w:r>
        <w:t xml:space="preserve"> </w:t>
      </w:r>
      <w:r>
        <w:rPr>
          <w:b/>
          <w:bCs/>
        </w:rPr>
        <w:t xml:space="preserve">quality and durability of Q4 margin performance</w:t>
      </w:r>
      <w:r>
        <w:t xml:space="preserve">. Q3 gross margins benefited from strong operating execution, volume leverage, revenue mix, and cost initiatives, but management was clear that mix and investment timing can cause quarter-to-quarter volatility.</w:t>
      </w:r>
    </w:p>
    <w:p>
      <w:pPr>
        <w:pStyle w:val="BodyText"/>
      </w:pPr>
      <w:r>
        <w:t xml:space="preserve">Specific watch items:</w:t>
      </w:r>
    </w:p>
    <w:p>
      <w:pPr>
        <w:numPr>
          <w:ilvl w:val="0"/>
          <w:numId w:val="1002"/>
        </w:numPr>
      </w:pPr>
      <w:r>
        <w:rPr>
          <w:b/>
          <w:bCs/>
        </w:rPr>
        <w:t xml:space="preserve">Fuel and energy costs.</w:t>
      </w:r>
      <w:r>
        <w:t xml:space="preserve"> </w:t>
      </w:r>
      <w:r>
        <w:t xml:space="preserve">Energy was 1.7% of Q3 revenue, flat year over year but up 10 bps sequentially. Management said fuel accounts for only about 100 bps of revenue, and that a sustained 30% increase in fuel costs would translate to roughly a 30-bp headwind. It believes higher fuel costs were reflected in the FY2026 guide, but a further step-up could pressure Q4 or the initial FY2027 outlook.</w:t>
      </w:r>
    </w:p>
    <w:p>
      <w:pPr>
        <w:numPr>
          <w:ilvl w:val="0"/>
          <w:numId w:val="1002"/>
        </w:numPr>
      </w:pPr>
      <w:r>
        <w:rPr>
          <w:b/>
          <w:bCs/>
        </w:rPr>
        <w:t xml:space="preserve">Tariffs and material costs.</w:t>
      </w:r>
      <w:r>
        <w:t xml:space="preserve"> </w:t>
      </w:r>
      <w:r>
        <w:t xml:space="preserve">Cintas has said it is not immune to tariffs, though it expects effects to flow through its supply chain gradually rather than create an immediate material dislocation. Investors should look for any shift in commentary on apparel, imported inputs, sourcing, or customer pricing.</w:t>
      </w:r>
    </w:p>
    <w:p>
      <w:pPr>
        <w:numPr>
          <w:ilvl w:val="0"/>
          <w:numId w:val="1002"/>
        </w:numPr>
      </w:pPr>
      <w:r>
        <w:rPr>
          <w:b/>
          <w:bCs/>
        </w:rPr>
        <w:t xml:space="preserve">Investment cadence.</w:t>
      </w:r>
      <w:r>
        <w:t xml:space="preserve"> </w:t>
      </w:r>
      <w:r>
        <w:t xml:space="preserve">Cintas is continuing to fund sales capacity, route capacity, technology, talent, and the Fire Protection SAP rollout. These investments support the long-term growth algorithm, but investors will be sensitive to whether FY2027 margin expansion pauses as the company absorbs ERP costs and prepares for UniFirst integration.</w:t>
      </w:r>
    </w:p>
    <w:p>
      <w:pPr>
        <w:numPr>
          <w:ilvl w:val="0"/>
          <w:numId w:val="1002"/>
        </w:numPr>
      </w:pPr>
      <w:r>
        <w:rPr>
          <w:b/>
          <w:bCs/>
        </w:rPr>
        <w:t xml:space="preserve">First Aid comparison.</w:t>
      </w:r>
      <w:r>
        <w:t xml:space="preserve"> </w:t>
      </w:r>
      <w:r>
        <w:t xml:space="preserve">First Aid &amp; Safety faces a notably difficult year-over-year comparison after the prior-year Q4 benefited from elevated AED-related training activity. Strong segment growth would be a positive signal; a step-down should not necessarily be read as weakening demand.</w:t>
      </w:r>
    </w:p>
    <w:bookmarkEnd w:id="12"/>
    <w:bookmarkEnd w:id="13"/>
    <w:bookmarkStart w:id="16" w:name="Xef790456e8e2912e1131032b2b821ae54f0ceef"/>
    <w:p>
      <w:pPr>
        <w:pStyle w:val="Heading2"/>
      </w:pPr>
      <w:r>
        <w:t xml:space="preserve">UniFirst: the event’s most important strategic variable</w:t>
      </w:r>
    </w:p>
    <w:p>
      <w:pPr>
        <w:pStyle w:val="FirstParagraph"/>
      </w:pPr>
      <w:r>
        <w:t xml:space="preserve">The UniFirst acquisition makes this report materially more important than a standard Q4 print.</w:t>
      </w:r>
    </w:p>
    <w:bookmarkStart w:id="14" w:name="strategic-upside"/>
    <w:p>
      <w:pPr>
        <w:pStyle w:val="Heading3"/>
      </w:pPr>
      <w:r>
        <w:t xml:space="preserve">Strategic upside</w:t>
      </w:r>
    </w:p>
    <w:p>
      <w:pPr>
        <w:pStyle w:val="FirstParagraph"/>
      </w:pPr>
      <w:r>
        <w:t xml:space="preserve">Cintas agreed to acquire UniFirst for an enterprise value of approximately</w:t>
      </w:r>
      <w:r>
        <w:t xml:space="preserve"> </w:t>
      </w:r>
      <w:r>
        <w:rPr>
          <w:b/>
          <w:bCs/>
        </w:rPr>
        <w:t xml:space="preserve">$5.5B</w:t>
      </w:r>
      <w:r>
        <w:t xml:space="preserve">. The company expects:</w:t>
      </w:r>
    </w:p>
    <w:p>
      <w:pPr>
        <w:pStyle w:val="Compact"/>
        <w:numPr>
          <w:ilvl w:val="0"/>
          <w:numId w:val="1003"/>
        </w:numPr>
      </w:pPr>
      <w:r>
        <w:t xml:space="preserve">Approximately</w:t>
      </w:r>
      <w:r>
        <w:t xml:space="preserve"> </w:t>
      </w:r>
      <w:r>
        <w:rPr>
          <w:b/>
          <w:bCs/>
        </w:rPr>
        <w:t xml:space="preserve">$375M in operating cost synergies</w:t>
      </w:r>
      <w:r>
        <w:t xml:space="preserve"> </w:t>
      </w:r>
      <w:r>
        <w:t xml:space="preserve">within four years;</w:t>
      </w:r>
    </w:p>
    <w:p>
      <w:pPr>
        <w:pStyle w:val="Compact"/>
        <w:numPr>
          <w:ilvl w:val="0"/>
          <w:numId w:val="1003"/>
        </w:numPr>
      </w:pPr>
      <w:r>
        <w:t xml:space="preserve">EPS accretion by the end of the</w:t>
      </w:r>
      <w:r>
        <w:t xml:space="preserve"> </w:t>
      </w:r>
      <w:r>
        <w:rPr>
          <w:b/>
          <w:bCs/>
        </w:rPr>
        <w:t xml:space="preserve">second full year after closing</w:t>
      </w:r>
      <w:r>
        <w:t xml:space="preserve">;</w:t>
      </w:r>
    </w:p>
    <w:p>
      <w:pPr>
        <w:pStyle w:val="Compact"/>
        <w:numPr>
          <w:ilvl w:val="0"/>
          <w:numId w:val="1003"/>
        </w:numPr>
      </w:pPr>
      <w:r>
        <w:t xml:space="preserve">Net leverage of roughly</w:t>
      </w:r>
      <w:r>
        <w:t xml:space="preserve"> </w:t>
      </w:r>
      <w:r>
        <w:rPr>
          <w:b/>
          <w:bCs/>
        </w:rPr>
        <w:t xml:space="preserve">1.5x debt/EBITDA at closing</w:t>
      </w:r>
      <w:r>
        <w:t xml:space="preserve">;</w:t>
      </w:r>
    </w:p>
    <w:p>
      <w:pPr>
        <w:pStyle w:val="Compact"/>
        <w:numPr>
          <w:ilvl w:val="0"/>
          <w:numId w:val="1003"/>
        </w:numPr>
      </w:pPr>
      <w:r>
        <w:t xml:space="preserve">Benefits from greater route density, complementary processing capacity, sourcing, technology, supply-chain scale, and service infrastructure.</w:t>
      </w:r>
    </w:p>
    <w:p>
      <w:pPr>
        <w:pStyle w:val="FirstParagraph"/>
      </w:pPr>
      <w:r>
        <w:t xml:space="preserve">The merger would significantly expand the company’s uniform and facility-services footprint, while presenting a large opportunity to use Cintas’ operating model and technology to drive productivity.</w:t>
      </w:r>
    </w:p>
    <w:bookmarkEnd w:id="14"/>
    <w:bookmarkStart w:id="15" w:name="regulatory-and-execution-risk"/>
    <w:p>
      <w:pPr>
        <w:pStyle w:val="Heading3"/>
      </w:pPr>
      <w:r>
        <w:t xml:space="preserve">Regulatory and execution risk</w:t>
      </w:r>
    </w:p>
    <w:p>
      <w:pPr>
        <w:pStyle w:val="FirstParagraph"/>
      </w:pPr>
      <w:r>
        <w:t xml:space="preserve">The FTC’s June 11, 2026 Second Request means closing is not simply procedural. It extends the waiting period until 30 days after both companies substantially comply, unless the process is extended or ended earlier. Although UniFirst shareholder approval has been secured and management continues to target a second-half 2026 close, regulatory timing and any required conditions are now the principal uncertainties.</w:t>
      </w:r>
    </w:p>
    <w:p>
      <w:pPr>
        <w:pStyle w:val="BodyText"/>
      </w:pPr>
      <w:r>
        <w:rPr>
          <w:b/>
          <w:bCs/>
        </w:rPr>
        <w:t xml:space="preserve">Questions investors should want answered:</w:t>
      </w:r>
    </w:p>
    <w:p>
      <w:pPr>
        <w:pStyle w:val="Compact"/>
        <w:numPr>
          <w:ilvl w:val="0"/>
          <w:numId w:val="1004"/>
        </w:numPr>
      </w:pPr>
      <w:r>
        <w:t xml:space="preserve">Is a second-half 2026 close still the most likely outcome?</w:t>
      </w:r>
    </w:p>
    <w:p>
      <w:pPr>
        <w:pStyle w:val="Compact"/>
        <w:numPr>
          <w:ilvl w:val="0"/>
          <w:numId w:val="1004"/>
        </w:numPr>
      </w:pPr>
      <w:r>
        <w:t xml:space="preserve">Has the company begun substantive compliance with the Second Request, and is the expected review timetable unchanged?</w:t>
      </w:r>
    </w:p>
    <w:p>
      <w:pPr>
        <w:pStyle w:val="Compact"/>
        <w:numPr>
          <w:ilvl w:val="0"/>
          <w:numId w:val="1004"/>
        </w:numPr>
      </w:pPr>
      <w:r>
        <w:t xml:space="preserve">Is management’s synergy target still unchanged?</w:t>
      </w:r>
    </w:p>
    <w:p>
      <w:pPr>
        <w:pStyle w:val="Compact"/>
        <w:numPr>
          <w:ilvl w:val="0"/>
          <w:numId w:val="1004"/>
        </w:numPr>
      </w:pPr>
      <w:r>
        <w:t xml:space="preserve">What additional integration costs, financing needs, or share issuance should investors model?</w:t>
      </w:r>
    </w:p>
    <w:p>
      <w:pPr>
        <w:pStyle w:val="Compact"/>
        <w:numPr>
          <w:ilvl w:val="0"/>
          <w:numId w:val="1004"/>
        </w:numPr>
      </w:pPr>
      <w:r>
        <w:t xml:space="preserve">How will buybacks evolve before and after closing?</w:t>
      </w:r>
    </w:p>
    <w:p>
      <w:pPr>
        <w:pStyle w:val="FirstParagraph"/>
      </w:pPr>
      <w:r>
        <w:t xml:space="preserve">Management had previously noted temporary restrictions on repurchases around the deal process, while reiterating that it intends to remain opportunistic when permitted. That makes capital-return commentary particularly relevant.</w:t>
      </w:r>
    </w:p>
    <w:bookmarkEnd w:id="15"/>
    <w:bookmarkEnd w:id="16"/>
    <w:bookmarkStart w:id="17" w:name="X3acfd559c060f8b87f8245a1cda32f7f87a2609"/>
    <w:p>
      <w:pPr>
        <w:pStyle w:val="Heading2"/>
      </w:pPr>
      <w:r>
        <w:t xml:space="preserve">FY2027 outlook: likely the stock’s main catalyst</w:t>
      </w:r>
    </w:p>
    <w:p>
      <w:pPr>
        <w:pStyle w:val="FirstParagraph"/>
      </w:pPr>
      <w:r>
        <w:t xml:space="preserve">This report will also establish the starting point for FY2027 expectations. The most important items are likely to be:</w:t>
      </w:r>
    </w:p>
    <w:p>
      <w:pPr>
        <w:pStyle w:val="Compact"/>
        <w:numPr>
          <w:ilvl w:val="0"/>
          <w:numId w:val="1005"/>
        </w:numPr>
      </w:pPr>
      <w:r>
        <w:rPr>
          <w:b/>
          <w:bCs/>
        </w:rPr>
        <w:t xml:space="preserve">Organic revenue-growth framework:</w:t>
      </w:r>
      <w:r>
        <w:t xml:space="preserve"> </w:t>
      </w:r>
      <w:r>
        <w:t xml:space="preserve">Can Cintas sustain mid- to high-single-digit organic growth despite a mixed macro backdrop?</w:t>
      </w:r>
    </w:p>
    <w:p>
      <w:pPr>
        <w:pStyle w:val="Compact"/>
        <w:numPr>
          <w:ilvl w:val="0"/>
          <w:numId w:val="1005"/>
        </w:numPr>
      </w:pPr>
      <w:r>
        <w:rPr>
          <w:b/>
          <w:bCs/>
        </w:rPr>
        <w:t xml:space="preserve">Incremental margins:</w:t>
      </w:r>
      <w:r>
        <w:t xml:space="preserve"> </w:t>
      </w:r>
      <w:r>
        <w:t xml:space="preserve">Does management retain confidence in its historical ability to convert growth into margin gains?</w:t>
      </w:r>
    </w:p>
    <w:p>
      <w:pPr>
        <w:pStyle w:val="Compact"/>
        <w:numPr>
          <w:ilvl w:val="0"/>
          <w:numId w:val="1005"/>
        </w:numPr>
      </w:pPr>
      <w:r>
        <w:rPr>
          <w:b/>
          <w:bCs/>
        </w:rPr>
        <w:t xml:space="preserve">Fire Protection ERP impact:</w:t>
      </w:r>
      <w:r>
        <w:t xml:space="preserve"> </w:t>
      </w:r>
      <w:r>
        <w:t xml:space="preserve">Management previously indicated a full-year impact of roughly</w:t>
      </w:r>
      <w:r>
        <w:t xml:space="preserve"> </w:t>
      </w:r>
      <w:r>
        <w:rPr>
          <w:b/>
          <w:bCs/>
        </w:rPr>
        <w:t xml:space="preserve">100 bps</w:t>
      </w:r>
      <w:r>
        <w:t xml:space="preserve"> </w:t>
      </w:r>
      <w:r>
        <w:t xml:space="preserve">on that segment’s margin, with the actual FY2027 effect depending on rollout timing.</w:t>
      </w:r>
    </w:p>
    <w:p>
      <w:pPr>
        <w:pStyle w:val="Compact"/>
        <w:numPr>
          <w:ilvl w:val="0"/>
          <w:numId w:val="1005"/>
        </w:numPr>
      </w:pPr>
      <w:r>
        <w:rPr>
          <w:b/>
          <w:bCs/>
        </w:rPr>
        <w:t xml:space="preserve">Interest expense and leverage:</w:t>
      </w:r>
      <w:r>
        <w:t xml:space="preserve"> </w:t>
      </w:r>
      <w:r>
        <w:t xml:space="preserve">These matter more as UniFirst financing approaches.</w:t>
      </w:r>
    </w:p>
    <w:p>
      <w:pPr>
        <w:pStyle w:val="Compact"/>
        <w:numPr>
          <w:ilvl w:val="0"/>
          <w:numId w:val="1005"/>
        </w:numPr>
      </w:pPr>
      <w:r>
        <w:rPr>
          <w:b/>
          <w:bCs/>
        </w:rPr>
        <w:t xml:space="preserve">Buyback assumptions:</w:t>
      </w:r>
      <w:r>
        <w:t xml:space="preserve"> </w:t>
      </w:r>
      <w:r>
        <w:t xml:space="preserve">FY2026 guidance excluded future buybacks, so a return to normal repurchase activity could be an incremental EPS lever—but the transaction and regulatory process may constrain timing.</w:t>
      </w:r>
    </w:p>
    <w:p>
      <w:pPr>
        <w:pStyle w:val="Compact"/>
        <w:numPr>
          <w:ilvl w:val="0"/>
          <w:numId w:val="1005"/>
        </w:numPr>
      </w:pPr>
      <w:r>
        <w:rPr>
          <w:b/>
          <w:bCs/>
        </w:rPr>
        <w:t xml:space="preserve">M&amp;A treatment:</w:t>
      </w:r>
      <w:r>
        <w:t xml:space="preserve"> </w:t>
      </w:r>
      <w:r>
        <w:t xml:space="preserve">Guidance likely will exclude UniFirst until closing, creating a distinction between the standalone FY2027 outlook and the eventual pro forma earnings path.</w:t>
      </w:r>
    </w:p>
    <w:bookmarkEnd w:id="17"/>
    <w:bookmarkStart w:id="18" w:name="stock-and-valuation-context"/>
    <w:p>
      <w:pPr>
        <w:pStyle w:val="Heading2"/>
      </w:pPr>
      <w:r>
        <w:t xml:space="preserve">Stock and valuation context</w:t>
      </w:r>
    </w:p>
    <w:p>
      <w:pPr>
        <w:pStyle w:val="FirstParagraph"/>
      </w:pPr>
      <w:r>
        <w:t xml:space="preserve">CTAS closed at</w:t>
      </w:r>
      <w:r>
        <w:t xml:space="preserve"> </w:t>
      </w:r>
      <w:r>
        <w:rPr>
          <w:b/>
          <w:bCs/>
        </w:rPr>
        <w:t xml:space="preserve">$184.36 on July 14, 2026</w:t>
      </w:r>
      <w:r>
        <w:t xml:space="preserve">, up roughly</w:t>
      </w:r>
      <w:r>
        <w:t xml:space="preserve"> </w:t>
      </w:r>
      <w:r>
        <w:rPr>
          <w:b/>
          <w:bCs/>
        </w:rPr>
        <w:t xml:space="preserve">4%</w:t>
      </w:r>
      <w:r>
        <w:t xml:space="preserve"> </w:t>
      </w:r>
      <w:r>
        <w:t xml:space="preserve">since the March 25 Q3 earnings release. Over the same period, the S&amp;P 500 rose about</w:t>
      </w:r>
      <w:r>
        <w:t xml:space="preserve"> </w:t>
      </w:r>
      <w:r>
        <w:rPr>
          <w:b/>
          <w:bCs/>
        </w:rPr>
        <w:t xml:space="preserve">14%</w:t>
      </w:r>
      <w:r>
        <w:t xml:space="preserve">, so CTAS has lagged the broader market by approximately 10 percentage points.</w:t>
      </w:r>
    </w:p>
    <w:p>
      <w:pPr>
        <w:pStyle w:val="BodyText"/>
      </w:pPr>
      <w:r>
        <w:t xml:space="preserve">Using the midpoint of FY2026 adjusted EPS guidance ($4.88), the stock trades near</w:t>
      </w:r>
      <w:r>
        <w:t xml:space="preserve"> </w:t>
      </w:r>
      <w:r>
        <w:rPr>
          <w:b/>
          <w:bCs/>
        </w:rPr>
        <w:t xml:space="preserve">38x</w:t>
      </w:r>
      <w:r>
        <w:t xml:space="preserve"> </w:t>
      </w:r>
      <w:r>
        <w:t xml:space="preserve">current-year adjusted earnings. That valuation leaves limited room for a merely in-line print: investors likely need evidence that the company can both sustain the core organic-growth/margin engine and navigate the UniFirst process without impairing capital returns or standalone execution.</w:t>
      </w:r>
    </w:p>
    <w:bookmarkEnd w:id="18"/>
    <w:bookmarkStart w:id="21" w:name="what-matters-most-on-july-15"/>
    <w:p>
      <w:pPr>
        <w:pStyle w:val="Heading2"/>
      </w:pPr>
      <w:r>
        <w:t xml:space="preserve">What matters most on July 15</w:t>
      </w:r>
    </w:p>
    <w:bookmarkStart w:id="19" w:name="positive-read-through"/>
    <w:p>
      <w:pPr>
        <w:pStyle w:val="Heading3"/>
      </w:pPr>
      <w:r>
        <w:t xml:space="preserve">Positive read-through</w:t>
      </w:r>
    </w:p>
    <w:p>
      <w:pPr>
        <w:pStyle w:val="Compact"/>
        <w:numPr>
          <w:ilvl w:val="0"/>
          <w:numId w:val="1006"/>
        </w:numPr>
      </w:pPr>
      <w:r>
        <w:t xml:space="preserve">Revenue and adjusted EPS at or above the high end of FY2026 guidance.</w:t>
      </w:r>
    </w:p>
    <w:p>
      <w:pPr>
        <w:pStyle w:val="Compact"/>
        <w:numPr>
          <w:ilvl w:val="0"/>
          <w:numId w:val="1006"/>
        </w:numPr>
      </w:pPr>
      <w:r>
        <w:t xml:space="preserve">Organic growth that lands near or above the implied ~7.6% Q4 level.</w:t>
      </w:r>
    </w:p>
    <w:p>
      <w:pPr>
        <w:pStyle w:val="Compact"/>
        <w:numPr>
          <w:ilvl w:val="0"/>
          <w:numId w:val="1006"/>
        </w:numPr>
      </w:pPr>
      <w:r>
        <w:t xml:space="preserve">Continued gross-margin resilience despite fuel, wage, and tariff pressure.</w:t>
      </w:r>
    </w:p>
    <w:p>
      <w:pPr>
        <w:pStyle w:val="Compact"/>
        <w:numPr>
          <w:ilvl w:val="0"/>
          <w:numId w:val="1006"/>
        </w:numPr>
      </w:pPr>
      <w:r>
        <w:t xml:space="preserve">Strong Uniform Rental growth and resilient customer retention/pricing.</w:t>
      </w:r>
    </w:p>
    <w:p>
      <w:pPr>
        <w:pStyle w:val="Compact"/>
        <w:numPr>
          <w:ilvl w:val="0"/>
          <w:numId w:val="1006"/>
        </w:numPr>
      </w:pPr>
      <w:r>
        <w:t xml:space="preserve">FY2027 guidance that supports high-single-digit growth and continued EPS expansion.</w:t>
      </w:r>
    </w:p>
    <w:p>
      <w:pPr>
        <w:pStyle w:val="Compact"/>
        <w:numPr>
          <w:ilvl w:val="0"/>
          <w:numId w:val="1006"/>
        </w:numPr>
      </w:pPr>
      <w:r>
        <w:t xml:space="preserve">Confirmation that UniFirst timing, synergy targets, leverage, and expected accretion remain unchanged.</w:t>
      </w:r>
    </w:p>
    <w:bookmarkEnd w:id="19"/>
    <w:bookmarkStart w:id="20" w:name="negative-read-through"/>
    <w:p>
      <w:pPr>
        <w:pStyle w:val="Heading3"/>
      </w:pPr>
      <w:r>
        <w:t xml:space="preserve">Negative read-through</w:t>
      </w:r>
    </w:p>
    <w:p>
      <w:pPr>
        <w:pStyle w:val="Compact"/>
        <w:numPr>
          <w:ilvl w:val="0"/>
          <w:numId w:val="1007"/>
        </w:numPr>
      </w:pPr>
      <w:r>
        <w:t xml:space="preserve">A guide miss or an earnings result achieved only through unusually favorable mix/tax effects.</w:t>
      </w:r>
    </w:p>
    <w:p>
      <w:pPr>
        <w:pStyle w:val="Compact"/>
        <w:numPr>
          <w:ilvl w:val="0"/>
          <w:numId w:val="1007"/>
        </w:numPr>
      </w:pPr>
      <w:r>
        <w:t xml:space="preserve">A material step-down in Uniform Rental growth, retention, or new-business conversion.</w:t>
      </w:r>
    </w:p>
    <w:p>
      <w:pPr>
        <w:pStyle w:val="Compact"/>
        <w:numPr>
          <w:ilvl w:val="0"/>
          <w:numId w:val="1007"/>
        </w:numPr>
      </w:pPr>
      <w:r>
        <w:t xml:space="preserve">A sharper-than-expected margin reset from energy, tariffs, or investment spending.</w:t>
      </w:r>
    </w:p>
    <w:p>
      <w:pPr>
        <w:pStyle w:val="Compact"/>
        <w:numPr>
          <w:ilvl w:val="0"/>
          <w:numId w:val="1007"/>
        </w:numPr>
      </w:pPr>
      <w:r>
        <w:t xml:space="preserve">A more cautious FY2027 framework, particularly on incrementals or Fire ERP costs.</w:t>
      </w:r>
    </w:p>
    <w:p>
      <w:pPr>
        <w:pStyle w:val="Compact"/>
        <w:numPr>
          <w:ilvl w:val="0"/>
          <w:numId w:val="1007"/>
        </w:numPr>
      </w:pPr>
      <w:r>
        <w:t xml:space="preserve">Any indication that the FTC process could delay closing beyond the second half of calendar 2026, require meaningful remedies, or weaken projected synergies.</w:t>
      </w:r>
    </w:p>
    <w:bookmarkEnd w:id="20"/>
    <w:bookmarkEnd w:id="21"/>
    <w:bookmarkStart w:id="22" w:name="key-investor-questions-for-the-call"/>
    <w:p>
      <w:pPr>
        <w:pStyle w:val="Heading2"/>
      </w:pPr>
      <w:r>
        <w:t xml:space="preserve">Key investor questions for the call</w:t>
      </w:r>
    </w:p>
    <w:p>
      <w:pPr>
        <w:pStyle w:val="Compact"/>
        <w:numPr>
          <w:ilvl w:val="0"/>
          <w:numId w:val="1008"/>
        </w:numPr>
      </w:pPr>
      <w:r>
        <w:t xml:space="preserve">How did Q4 organic growth break down across Uniform Rental, First Aid &amp; Safety, Fire Protection, and Uniform Direct?</w:t>
      </w:r>
    </w:p>
    <w:p>
      <w:pPr>
        <w:pStyle w:val="Compact"/>
        <w:numPr>
          <w:ilvl w:val="0"/>
          <w:numId w:val="1008"/>
        </w:numPr>
      </w:pPr>
      <w:r>
        <w:t xml:space="preserve">Were customer retention, pricing, new business, and cross-selling trends still consistent with Q3 commentary?</w:t>
      </w:r>
    </w:p>
    <w:p>
      <w:pPr>
        <w:pStyle w:val="Compact"/>
        <w:numPr>
          <w:ilvl w:val="0"/>
          <w:numId w:val="1008"/>
        </w:numPr>
      </w:pPr>
      <w:r>
        <w:t xml:space="preserve">What was the net Q4 impact from fuel, tariffs, materials, wages, and other cost inputs?</w:t>
      </w:r>
    </w:p>
    <w:p>
      <w:pPr>
        <w:pStyle w:val="Compact"/>
        <w:numPr>
          <w:ilvl w:val="0"/>
          <w:numId w:val="1008"/>
        </w:numPr>
      </w:pPr>
      <w:r>
        <w:t xml:space="preserve">What level of FY2027 gross-margin and operating-margin progression is achievable while continuing technology and capacity investments?</w:t>
      </w:r>
    </w:p>
    <w:p>
      <w:pPr>
        <w:pStyle w:val="Compact"/>
        <w:numPr>
          <w:ilvl w:val="0"/>
          <w:numId w:val="1008"/>
        </w:numPr>
      </w:pPr>
      <w:r>
        <w:t xml:space="preserve">What is the expected timing and financial impact of the Fire Protection ERP rollout?</w:t>
      </w:r>
    </w:p>
    <w:p>
      <w:pPr>
        <w:pStyle w:val="Compact"/>
        <w:numPr>
          <w:ilvl w:val="0"/>
          <w:numId w:val="1008"/>
        </w:numPr>
      </w:pPr>
      <w:r>
        <w:t xml:space="preserve">Does management still expect UniFirst to close in the second half of calendar 2026?</w:t>
      </w:r>
    </w:p>
    <w:p>
      <w:pPr>
        <w:pStyle w:val="Compact"/>
        <w:numPr>
          <w:ilvl w:val="0"/>
          <w:numId w:val="1008"/>
        </w:numPr>
      </w:pPr>
      <w:r>
        <w:t xml:space="preserve">Have the expected</w:t>
      </w:r>
      <w:r>
        <w:t xml:space="preserve"> </w:t>
      </w:r>
      <w:r>
        <w:rPr>
          <w:b/>
          <w:bCs/>
        </w:rPr>
        <w:t xml:space="preserve">$375M</w:t>
      </w:r>
      <w:r>
        <w:t xml:space="preserve"> </w:t>
      </w:r>
      <w:r>
        <w:t xml:space="preserve">synergy target,</w:t>
      </w:r>
      <w:r>
        <w:t xml:space="preserve"> </w:t>
      </w:r>
      <w:r>
        <w:rPr>
          <w:b/>
          <w:bCs/>
        </w:rPr>
        <w:t xml:space="preserve">1.5x</w:t>
      </w:r>
      <w:r>
        <w:t xml:space="preserve"> </w:t>
      </w:r>
      <w:r>
        <w:t xml:space="preserve">closing leverage, and second-full-year accretion targets changed?</w:t>
      </w:r>
    </w:p>
    <w:p>
      <w:pPr>
        <w:pStyle w:val="Compact"/>
        <w:numPr>
          <w:ilvl w:val="0"/>
          <w:numId w:val="1008"/>
        </w:numPr>
      </w:pPr>
      <w:r>
        <w:t xml:space="preserve">How should investors think about buybacks, dividends, debt issuance, and share dilution through closing?</w:t>
      </w:r>
    </w:p>
    <w:bookmarkEnd w:id="22"/>
    <w:bookmarkStart w:id="23" w:name="takeaway"/>
    <w:p>
      <w:pPr>
        <w:pStyle w:val="Heading2"/>
      </w:pPr>
      <w:r>
        <w:t xml:space="preserve">Takeaway</w:t>
      </w:r>
    </w:p>
    <w:p>
      <w:pPr>
        <w:pStyle w:val="FirstParagraph"/>
      </w:pPr>
      <w:r>
        <w:t xml:space="preserve">Cintas’ Q4 print should be fundamentally strong, but the stock’s reaction will likely hinge more on</w:t>
      </w:r>
      <w:r>
        <w:t xml:space="preserve"> </w:t>
      </w:r>
      <w:r>
        <w:rPr>
          <w:b/>
          <w:bCs/>
        </w:rPr>
        <w:t xml:space="preserve">forward guidance and transaction execution</w:t>
      </w:r>
      <w:r>
        <w:t xml:space="preserve"> </w:t>
      </w:r>
      <w:r>
        <w:t xml:space="preserve">than on the reported quarter alone. The core franchise continues to demonstrate unusually durable growth and margins. However, at a premium valuation, the market will want confirmation that FY2027 can sustain that quality while Cintas manages higher cost volatility, a Fire ERP rollout, and the heightened regulatory and integration risk surrounding UniFirst.</w:t>
      </w:r>
    </w:p>
    <w:p>
      <w:pPr>
        <w:pStyle w:val="BodyText"/>
      </w:pPr>
      <w:r>
        <w:rPr>
          <w:b/>
          <w:bCs/>
        </w:rPr>
        <w:t xml:space="preserve">Primary sources reviewed:</w:t>
      </w:r>
      <w:r>
        <w:t xml:space="preserve"> </w:t>
      </w:r>
      <w:r>
        <w:t xml:space="preserve">Cintas FY2026 Q3 earnings release and call transcript (March 25, 2026); Cintas-UniFirst merger announcement (March 11, 2026); Cintas 8-K on FTC Second Request and UniFirst shareholder approval (June 12, 2026); Cintas FY2025 Q4 earnings release; CTAS historical price data through July 14, 2026.</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2026-07-15T00:26:32Z</dcterms:created>
  <dcterms:modified xsi:type="dcterms:W3CDTF">2026-07-15T00:26:32Z</dcterms:modified>
</cp:coreProperties>
</file>

<file path=docProps/custom.xml><?xml version="1.0" encoding="utf-8"?>
<Properties xmlns="http://schemas.openxmlformats.org/officeDocument/2006/custom-properties" xmlns:vt="http://schemas.openxmlformats.org/officeDocument/2006/docPropsVTypes"/>
</file>