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tas-earnings-predictions--2026-07-15"/>
    <w:p>
      <w:pPr>
        <w:pStyle w:val="Heading1"/>
      </w:pPr>
      <w:r>
        <w:t xml:space="preserve">CTAS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 Rate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~7.8% vs. cons 7.3%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 % (Q4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~50.3% vs. cons 50.2%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Diluted EPS (Q4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~$1.25 vs. cons $1.24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(FY2026 - maintain)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~$11.21-11.24B vs. cons $11,232M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(FY2026 - maintain)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~$4.86-4.90 vs. cons $4.89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(FY2027 - initial)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~$12.00-12.15B (mid $12.075B) vs. cons $12,069M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(FY2027 - initial)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~$5.35-5.45 (mid $5.40) vs. cons $5.42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Qualitative: UniFirst/FTC tone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cautiously constructive; no new timeline acceleration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(STABILIZE)</w:t>
            </w:r>
          </w:p>
        </w:tc>
        <w:tc>
          <w:tcPr/>
          <w:p>
            <w:pPr>
              <w:pStyle w:val="Compact"/>
            </w:pPr>
            <w:r>
              <w:t xml:space="preserve">STABILIZE - Archetype B follow-through; FY27 in-line guide gives sell-side little reason to revise; FTC overhang caps upside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2026-07-17T02:00:47Z</dcterms:created>
  <dcterms:modified xsi:type="dcterms:W3CDTF">2026-07-17T02:00:47Z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