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Cintas Corporation (CTAS)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Cintas Corporation</w:t>
            </w:r>
          </w:p>
        </w:tc>
      </w:tr>
      <w:tr>
        <w:tc>
          <w:tcPr>
            <w:tcW w:type="dxa" w:w="4320"/>
          </w:tcPr>
          <w:p>
            <w:r>
              <w:rPr>
                <w:rFonts w:ascii="Calibri" w:hAnsi="Calibri"/>
                <w:b/>
                <w:sz w:val="22"/>
              </w:rPr>
              <w:t>Ticker</w:t>
            </w:r>
          </w:p>
        </w:tc>
        <w:tc>
          <w:tcPr>
            <w:tcW w:type="dxa" w:w="4320"/>
          </w:tcPr>
          <w:p>
            <w:r>
              <w:rPr>
                <w:rFonts w:ascii="Calibri" w:hAnsi="Calibri"/>
                <w:sz w:val="22"/>
              </w:rPr>
              <w:t>NASDAQ: CTAS</w:t>
            </w:r>
          </w:p>
        </w:tc>
      </w:tr>
      <w:tr>
        <w:tc>
          <w:tcPr>
            <w:tcW w:type="dxa" w:w="4320"/>
          </w:tcPr>
          <w:p>
            <w:r>
              <w:rPr>
                <w:rFonts w:ascii="Calibri" w:hAnsi="Calibri"/>
                <w:b/>
                <w:sz w:val="22"/>
              </w:rPr>
              <w:t>Reporting Period</w:t>
            </w:r>
          </w:p>
        </w:tc>
        <w:tc>
          <w:tcPr>
            <w:tcW w:type="dxa" w:w="4320"/>
          </w:tcPr>
          <w:p>
            <w:r>
              <w:rPr>
                <w:rFonts w:ascii="Calibri" w:hAnsi="Calibri"/>
                <w:sz w:val="22"/>
              </w:rPr>
              <w:t>Fiscal Q4 FY2026 (Quarter Ended May 31, 2026)</w:t>
            </w:r>
          </w:p>
        </w:tc>
      </w:tr>
      <w:tr>
        <w:tc>
          <w:tcPr>
            <w:tcW w:type="dxa" w:w="4320"/>
          </w:tcPr>
          <w:p>
            <w:r>
              <w:rPr>
                <w:rFonts w:ascii="Calibri" w:hAnsi="Calibri"/>
                <w:b/>
                <w:sz w:val="22"/>
              </w:rPr>
              <w:t>Earnings Date</w:t>
            </w:r>
          </w:p>
        </w:tc>
        <w:tc>
          <w:tcPr>
            <w:tcW w:type="dxa" w:w="4320"/>
          </w:tcPr>
          <w:p>
            <w:r>
              <w:rPr>
                <w:rFonts w:ascii="Calibri" w:hAnsi="Calibri"/>
                <w:sz w:val="22"/>
              </w:rPr>
              <w:t>July 15, 2026 — Before Market Open</w:t>
            </w:r>
          </w:p>
        </w:tc>
      </w:tr>
      <w:tr>
        <w:tc>
          <w:tcPr>
            <w:tcW w:type="dxa" w:w="4320"/>
          </w:tcPr>
          <w:p>
            <w:r>
              <w:rPr>
                <w:rFonts w:ascii="Calibri" w:hAnsi="Calibri"/>
                <w:b/>
                <w:sz w:val="22"/>
              </w:rPr>
              <w:t>Prepared</w:t>
            </w:r>
          </w:p>
        </w:tc>
        <w:tc>
          <w:tcPr>
            <w:tcW w:type="dxa" w:w="4320"/>
          </w:tcPr>
          <w:p>
            <w:r>
              <w:rPr>
                <w:rFonts w:ascii="Calibri" w:hAnsi="Calibri"/>
                <w:sz w:val="22"/>
              </w:rPr>
              <w:t>July 14,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sits below the implied guidance midpoint on both revenue and EPS, and CTAS has beaten on organic growth in every quarter this fiscal year — but the Q4 comp is the toughest of the year and the FTC Second Request on the UniFirst deal is the key overhang that could weigh on the stock regardless of the print.</w:t>
      </w:r>
    </w:p>
    <w:p>
      <w:r>
        <w:rPr>
          <w:rFonts w:ascii="Calibri" w:hAnsi="Calibri"/>
          <w:b/>
          <w:color w:val="E5484D"/>
          <w:sz w:val="22"/>
        </w:rPr>
        <w:t xml:space="preserve">Heading into Q4 FY2026, the bar looks achievable but not easy. Consensus revenue of ~$2.87B sits just inside the top of the full-year guidance range ($11.21–$11.24B), implying management has left modest cushion, consistent with their pattern of conservative guidance. The implied Q4 organic growth of ~7.3% (per VA consensus) compares against a 9% organic comp in Q4 FY2025 — the toughest comparison of the fiscal year — with First Aid lapping an 18.5% organic quarter driven by a one-time AED training spike that management explicitly flagged as non-recurring. </w:t>
      </w:r>
      <w:r>
        <w:rPr>
          <w:rFonts w:ascii="Calibri" w:hAnsi="Calibri"/>
          <w:color w:val="525866"/>
          <w:sz w:val="22"/>
        </w:rPr>
        <w:t xml:space="preserve">On the margin side, consensus gross margin of ~50.2% is slightly below the all-time highs posted in Q3 (50.98%), which is reasonable given the tougher revenue mix comp, but CTAS has consistently surprised to the upside on margins all year. </w:t>
      </w:r>
      <w:r>
        <w:rPr>
          <w:rFonts w:ascii="Calibri" w:hAnsi="Calibri"/>
          <w:b/>
          <w:color w:val="E5484D"/>
          <w:sz w:val="22"/>
        </w:rPr>
        <w:t xml:space="preserve">Estimate revisions have been stable-to-slightly-positive since the Q3 print, with the FY2026 EPS guidance midpoint of $4.88 essentially in line with the $4.89 consensus, leaving little room for a guidance-driven re-rating. </w:t>
      </w:r>
      <w:r>
        <w:rPr>
          <w:rFonts w:ascii="Calibri" w:hAnsi="Calibri"/>
          <w:color w:val="525866"/>
          <w:sz w:val="22"/>
        </w:rPr>
        <w:t>The stock has lagged the S&amp;P 500 significantly since the Q3 print (+4.2% vs. +14.5% for SPY), trading at ~50x trailing earnings — a premium multiple that prices in consistent execution but leaves the stock vulnerable to any miss or guidance disappointment. The wildcard is the FTC Second Request on the UniFirst acquisition (issued June 11): any incremental color on deal timeline, remedies, or regulatory risk could move the stock more than the underlying quarterly results.</w:t>
      </w:r>
      <w:r>
        <w:rPr>
          <w:rFonts w:ascii="Calibri" w:hAnsi="Calibri"/>
          <w:color w:val="525866"/>
          <w:sz w:val="22"/>
        </w:rPr>
        <w:t xml:space="preserve"> The stock is up ~2.3% today ahead of the print, suggesting the market is leaning toward a beat.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is a modest but not low bar — revenue estimates sit just inside the guidance range, while organic growth consensus of ~7.3% is below the 8%+ CTAS has delivered in each of the prior three quarters. </w:t>
      </w:r>
      <w:r>
        <w:rPr>
          <w:rFonts w:ascii="Calibri" w:hAnsi="Calibri"/>
          <w:color w:val="525866"/>
          <w:sz w:val="22"/>
        </w:rPr>
        <w:t>Gross margin is the bigger swing factor: CTAS has beaten consensus on margins in every quarter this year, and another upside surprise would be the clearest signal of continued operational excellence.</w:t>
      </w:r>
    </w:p>
    <w:p>
      <w:pPr>
        <w:pStyle w:val="Heading3"/>
      </w:pPr>
      <w:r>
        <w:rPr>
          <w:rFonts w:ascii="Calibri" w:hAnsi="Calibri"/>
          <w:b/>
          <w:color w:val="3B4259"/>
          <w:sz w:val="24"/>
        </w:rPr>
        <w:t>Table 1 — Q4 FY2026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(Q3 FY2026)</w:t>
            </w:r>
          </w:p>
        </w:tc>
        <w:tc>
          <w:tcPr>
            <w:tcW w:type="dxa" w:w="1234"/>
            <w:shd w:val="clear" w:color="auto" w:fill="3B4259"/>
          </w:tcPr>
          <w:p>
            <w:r>
              <w:rPr>
                <w:rFonts w:ascii="Calibri" w:hAnsi="Calibri"/>
                <w:b/>
                <w:color w:val="FFFFFF"/>
                <w:sz w:val="22"/>
              </w:rPr>
              <w:t>Prior Year Period (Q4 FY2025)</w:t>
            </w:r>
          </w:p>
        </w:tc>
        <w:tc>
          <w:tcPr>
            <w:tcW w:type="dxa" w:w="1234"/>
            <w:shd w:val="clear" w:color="auto" w:fill="3B4259"/>
          </w:tcPr>
          <w:p>
            <w:r>
              <w:rPr>
                <w:rFonts w:ascii="Calibri" w:hAnsi="Calibri"/>
                <w:b/>
                <w:color w:val="FFFFFF"/>
                <w:sz w:val="22"/>
              </w:rPr>
              <w:t>Q4 FY2026 Consensus Estimate</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 Midpoint</w:t>
            </w:r>
          </w:p>
        </w:tc>
      </w:tr>
      <w:tr>
        <w:tc>
          <w:tcPr>
            <w:tcW w:type="dxa" w:w="1234"/>
          </w:tcPr>
          <w:p>
            <w:r>
              <w:rPr>
                <w:rFonts w:ascii="Calibri" w:hAnsi="Calibri"/>
                <w:sz w:val="22"/>
              </w:rPr>
              <w:t>Revenue ($B)</w:t>
            </w:r>
          </w:p>
        </w:tc>
        <w:tc>
          <w:tcPr>
            <w:tcW w:type="dxa" w:w="1234"/>
          </w:tcPr>
          <w:p>
            <w:r>
              <w:rPr>
                <w:rFonts w:ascii="Calibri" w:hAnsi="Calibri"/>
                <w:sz w:val="22"/>
              </w:rPr>
              <w:t>$2.841B</w:t>
            </w:r>
          </w:p>
        </w:tc>
        <w:tc>
          <w:tcPr>
            <w:tcW w:type="dxa" w:w="1234"/>
          </w:tcPr>
          <w:p>
            <w:r>
              <w:rPr>
                <w:rFonts w:ascii="Calibri" w:hAnsi="Calibri"/>
                <w:sz w:val="22"/>
              </w:rPr>
              <w:t>$2.668B</w:t>
            </w:r>
          </w:p>
        </w:tc>
        <w:tc>
          <w:tcPr>
            <w:tcW w:type="dxa" w:w="1234"/>
          </w:tcPr>
          <w:p>
            <w:r>
              <w:rPr>
                <w:rFonts w:ascii="Calibri" w:hAnsi="Calibri"/>
                <w:sz w:val="22"/>
              </w:rPr>
              <w:t>$2.873B</w:t>
            </w:r>
          </w:p>
        </w:tc>
        <w:tc>
          <w:tcPr>
            <w:tcW w:type="dxa" w:w="1234"/>
          </w:tcPr>
          <w:p>
            <w:r>
              <w:rPr>
                <w:rFonts w:ascii="Calibri" w:hAnsi="Calibri"/>
                <w:sz w:val="22"/>
              </w:rPr>
              <w:t>+7.7%</w:t>
            </w:r>
          </w:p>
        </w:tc>
        <w:tc>
          <w:tcPr>
            <w:tcW w:type="dxa" w:w="1234"/>
          </w:tcPr>
          <w:p>
            <w:r>
              <w:rPr>
                <w:rFonts w:ascii="Calibri" w:hAnsi="Calibri"/>
                <w:sz w:val="22"/>
              </w:rPr>
              <w:t>$11.21–$11.24B (FY)</w:t>
            </w:r>
          </w:p>
        </w:tc>
        <w:tc>
          <w:tcPr>
            <w:tcW w:type="dxa" w:w="1234"/>
          </w:tcPr>
          <w:p>
            <w:r>
              <w:rPr>
                <w:rFonts w:ascii="Calibri" w:hAnsi="Calibri"/>
                <w:sz w:val="22"/>
              </w:rPr>
              <w:t>~In-line (within range)</w:t>
            </w:r>
          </w:p>
        </w:tc>
      </w:tr>
      <w:tr>
        <w:tc>
          <w:tcPr>
            <w:tcW w:type="dxa" w:w="1234"/>
          </w:tcPr>
          <w:p>
            <w:r>
              <w:rPr>
                <w:rFonts w:ascii="Calibri" w:hAnsi="Calibri"/>
                <w:sz w:val="22"/>
              </w:rPr>
              <w:t>Adj. Diluted EPS ($)</w:t>
            </w:r>
          </w:p>
        </w:tc>
        <w:tc>
          <w:tcPr>
            <w:tcW w:type="dxa" w:w="1234"/>
          </w:tcPr>
          <w:p>
            <w:r>
              <w:rPr>
                <w:rFonts w:ascii="Calibri" w:hAnsi="Calibri"/>
                <w:sz w:val="22"/>
              </w:rPr>
              <w:t>$1.236</w:t>
            </w:r>
          </w:p>
        </w:tc>
        <w:tc>
          <w:tcPr>
            <w:tcW w:type="dxa" w:w="1234"/>
          </w:tcPr>
          <w:p>
            <w:r>
              <w:rPr>
                <w:rFonts w:ascii="Calibri" w:hAnsi="Calibri"/>
                <w:sz w:val="22"/>
              </w:rPr>
              <w:t>$1.090</w:t>
            </w:r>
          </w:p>
        </w:tc>
        <w:tc>
          <w:tcPr>
            <w:tcW w:type="dxa" w:w="1234"/>
          </w:tcPr>
          <w:p>
            <w:r>
              <w:rPr>
                <w:rFonts w:ascii="Calibri" w:hAnsi="Calibri"/>
                <w:sz w:val="22"/>
              </w:rPr>
              <w:t>$1.239</w:t>
            </w:r>
          </w:p>
        </w:tc>
        <w:tc>
          <w:tcPr>
            <w:tcW w:type="dxa" w:w="1234"/>
          </w:tcPr>
          <w:p>
            <w:r>
              <w:rPr>
                <w:rFonts w:ascii="Calibri" w:hAnsi="Calibri"/>
                <w:sz w:val="22"/>
              </w:rPr>
              <w:t>+13.7%</w:t>
            </w:r>
          </w:p>
        </w:tc>
        <w:tc>
          <w:tcPr>
            <w:tcW w:type="dxa" w:w="1234"/>
          </w:tcPr>
          <w:p>
            <w:r>
              <w:rPr>
                <w:rFonts w:ascii="Calibri" w:hAnsi="Calibri"/>
                <w:sz w:val="22"/>
              </w:rPr>
              <w:t>$4.86–$4.90 (FY)</w:t>
            </w:r>
          </w:p>
        </w:tc>
        <w:tc>
          <w:tcPr>
            <w:tcW w:type="dxa" w:w="1234"/>
          </w:tcPr>
          <w:p>
            <w:r>
              <w:rPr>
                <w:rFonts w:ascii="Calibri" w:hAnsi="Calibri"/>
                <w:sz w:val="22"/>
              </w:rPr>
              <w:t>~In-line ($4.89 cons. vs. $4.88 mid)</w:t>
            </w:r>
          </w:p>
        </w:tc>
      </w:tr>
      <w:tr>
        <w:tc>
          <w:tcPr>
            <w:tcW w:type="dxa" w:w="1234"/>
          </w:tcPr>
          <w:p>
            <w:r>
              <w:rPr>
                <w:rFonts w:ascii="Calibri" w:hAnsi="Calibri"/>
                <w:sz w:val="22"/>
              </w:rPr>
              <w:t>Gross Margin (%)</w:t>
            </w:r>
          </w:p>
        </w:tc>
        <w:tc>
          <w:tcPr>
            <w:tcW w:type="dxa" w:w="1234"/>
          </w:tcPr>
          <w:p>
            <w:r>
              <w:rPr>
                <w:rFonts w:ascii="Calibri" w:hAnsi="Calibri"/>
                <w:sz w:val="22"/>
              </w:rPr>
              <w:t>50.98%</w:t>
            </w:r>
          </w:p>
        </w:tc>
        <w:tc>
          <w:tcPr>
            <w:tcW w:type="dxa" w:w="1234"/>
          </w:tcPr>
          <w:p>
            <w:r>
              <w:rPr>
                <w:rFonts w:ascii="Calibri" w:hAnsi="Calibri"/>
                <w:sz w:val="22"/>
              </w:rPr>
              <w:t>49.71%</w:t>
            </w:r>
          </w:p>
        </w:tc>
        <w:tc>
          <w:tcPr>
            <w:tcW w:type="dxa" w:w="1234"/>
          </w:tcPr>
          <w:p>
            <w:r>
              <w:rPr>
                <w:rFonts w:ascii="Calibri" w:hAnsi="Calibri"/>
                <w:sz w:val="22"/>
              </w:rPr>
              <w:t>50.15%</w:t>
            </w:r>
          </w:p>
        </w:tc>
        <w:tc>
          <w:tcPr>
            <w:tcW w:type="dxa" w:w="1234"/>
          </w:tcPr>
          <w:p>
            <w:r>
              <w:rPr>
                <w:rFonts w:ascii="Calibri" w:hAnsi="Calibri"/>
                <w:sz w:val="22"/>
              </w:rPr>
              <w:t>+44 bps</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Operating Margin – Operating (%)</w:t>
            </w:r>
          </w:p>
        </w:tc>
        <w:tc>
          <w:tcPr>
            <w:tcW w:type="dxa" w:w="1234"/>
          </w:tcPr>
          <w:p>
            <w:r>
              <w:rPr>
                <w:rFonts w:ascii="Calibri" w:hAnsi="Calibri"/>
                <w:sz w:val="22"/>
              </w:rPr>
              <w:t>23.22%</w:t>
            </w:r>
          </w:p>
        </w:tc>
        <w:tc>
          <w:tcPr>
            <w:tcW w:type="dxa" w:w="1234"/>
          </w:tcPr>
          <w:p>
            <w:r>
              <w:rPr>
                <w:rFonts w:ascii="Calibri" w:hAnsi="Calibri"/>
                <w:sz w:val="22"/>
              </w:rPr>
              <w:t>22.40%</w:t>
            </w:r>
          </w:p>
        </w:tc>
        <w:tc>
          <w:tcPr>
            <w:tcW w:type="dxa" w:w="1234"/>
          </w:tcPr>
          <w:p>
            <w:r>
              <w:rPr>
                <w:rFonts w:ascii="Calibri" w:hAnsi="Calibri"/>
                <w:sz w:val="22"/>
              </w:rPr>
              <w:t>22.92%</w:t>
            </w:r>
          </w:p>
        </w:tc>
        <w:tc>
          <w:tcPr>
            <w:tcW w:type="dxa" w:w="1234"/>
          </w:tcPr>
          <w:p>
            <w:r>
              <w:rPr>
                <w:rFonts w:ascii="Calibri" w:hAnsi="Calibri"/>
                <w:sz w:val="22"/>
              </w:rPr>
              <w:t>+52 bps</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Organic Growth (%)</w:t>
            </w:r>
          </w:p>
        </w:tc>
        <w:tc>
          <w:tcPr>
            <w:tcW w:type="dxa" w:w="1234"/>
          </w:tcPr>
          <w:p>
            <w:r>
              <w:rPr>
                <w:rFonts w:ascii="Calibri" w:hAnsi="Calibri"/>
                <w:sz w:val="22"/>
              </w:rPr>
              <w:t>8.2%</w:t>
            </w:r>
          </w:p>
        </w:tc>
        <w:tc>
          <w:tcPr>
            <w:tcW w:type="dxa" w:w="1234"/>
          </w:tcPr>
          <w:p>
            <w:r>
              <w:rPr>
                <w:rFonts w:ascii="Calibri" w:hAnsi="Calibri"/>
                <w:sz w:val="22"/>
              </w:rPr>
              <w:t>9.0%</w:t>
            </w:r>
          </w:p>
        </w:tc>
        <w:tc>
          <w:tcPr>
            <w:tcW w:type="dxa" w:w="1234"/>
          </w:tcPr>
          <w:p>
            <w:r>
              <w:rPr>
                <w:rFonts w:ascii="Calibri" w:hAnsi="Calibri"/>
                <w:sz w:val="22"/>
              </w:rPr>
              <w:t>~7.3%</w:t>
            </w:r>
          </w:p>
        </w:tc>
        <w:tc>
          <w:tcPr>
            <w:tcW w:type="dxa" w:w="1234"/>
          </w:tcPr>
          <w:p>
            <w:r>
              <w:rPr>
                <w:rFonts w:ascii="Calibri" w:hAnsi="Calibri"/>
                <w:sz w:val="22"/>
              </w:rPr>
              <w:t>-170 bps</w:t>
            </w:r>
          </w:p>
        </w:tc>
        <w:tc>
          <w:tcPr>
            <w:tcW w:type="dxa" w:w="1234"/>
          </w:tcPr>
          <w:p>
            <w:r>
              <w:rPr>
                <w:rFonts w:ascii="Calibri" w:hAnsi="Calibri"/>
                <w:sz w:val="22"/>
              </w:rPr>
              <w:t>Implied ~7.6% (from FY guide)</w:t>
            </w:r>
          </w:p>
        </w:tc>
        <w:tc>
          <w:tcPr>
            <w:tcW w:type="dxa" w:w="1234"/>
          </w:tcPr>
          <w:p>
            <w:r>
              <w:rPr>
                <w:rFonts w:ascii="Calibri" w:hAnsi="Calibri"/>
                <w:sz w:val="22"/>
              </w:rPr>
              <w:t>~-30 bps below implied</w:t>
            </w:r>
          </w:p>
        </w:tc>
      </w:tr>
      <w:tr>
        <w:tc>
          <w:tcPr>
            <w:tcW w:type="dxa" w:w="1234"/>
          </w:tcPr>
          <w:p>
            <w:r>
              <w:rPr>
                <w:rFonts w:ascii="Calibri" w:hAnsi="Calibri"/>
                <w:sz w:val="22"/>
              </w:rPr>
              <w:t>Revenue – Uniform Rental &amp; Facility ($B)</w:t>
            </w:r>
          </w:p>
        </w:tc>
        <w:tc>
          <w:tcPr>
            <w:tcW w:type="dxa" w:w="1234"/>
          </w:tcPr>
          <w:p>
            <w:r>
              <w:rPr>
                <w:rFonts w:ascii="Calibri" w:hAnsi="Calibri"/>
                <w:sz w:val="22"/>
              </w:rPr>
              <w:t>$2.177B</w:t>
            </w:r>
          </w:p>
        </w:tc>
        <w:tc>
          <w:tcPr>
            <w:tcW w:type="dxa" w:w="1234"/>
          </w:tcPr>
          <w:p>
            <w:r>
              <w:rPr>
                <w:rFonts w:ascii="Calibri" w:hAnsi="Calibri"/>
                <w:sz w:val="22"/>
              </w:rPr>
              <w:t>$2.031B</w:t>
            </w:r>
          </w:p>
        </w:tc>
        <w:tc>
          <w:tcPr>
            <w:tcW w:type="dxa" w:w="1234"/>
          </w:tcPr>
          <w:p>
            <w:r>
              <w:rPr>
                <w:rFonts w:ascii="Calibri" w:hAnsi="Calibri"/>
                <w:sz w:val="22"/>
              </w:rPr>
              <w:t>$2.178B</w:t>
            </w:r>
          </w:p>
        </w:tc>
        <w:tc>
          <w:tcPr>
            <w:tcW w:type="dxa" w:w="1234"/>
          </w:tcPr>
          <w:p>
            <w:r>
              <w:rPr>
                <w:rFonts w:ascii="Calibri" w:hAnsi="Calibri"/>
                <w:sz w:val="22"/>
              </w:rPr>
              <w:t>+7.2%</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Revenue – First Aid &amp; Safety ($M)</w:t>
            </w:r>
          </w:p>
        </w:tc>
        <w:tc>
          <w:tcPr>
            <w:tcW w:type="dxa" w:w="1234"/>
          </w:tcPr>
          <w:p>
            <w:r>
              <w:rPr>
                <w:rFonts w:ascii="Calibri" w:hAnsi="Calibri"/>
                <w:sz w:val="22"/>
              </w:rPr>
              <w:t>$346.8M</w:t>
            </w:r>
          </w:p>
        </w:tc>
        <w:tc>
          <w:tcPr>
            <w:tcW w:type="dxa" w:w="1234"/>
          </w:tcPr>
          <w:p>
            <w:r>
              <w:rPr>
                <w:rFonts w:ascii="Calibri" w:hAnsi="Calibri"/>
                <w:sz w:val="22"/>
              </w:rPr>
              <w:t>$324.4M</w:t>
            </w:r>
          </w:p>
        </w:tc>
        <w:tc>
          <w:tcPr>
            <w:tcW w:type="dxa" w:w="1234"/>
          </w:tcPr>
          <w:p>
            <w:r>
              <w:rPr>
                <w:rFonts w:ascii="Calibri" w:hAnsi="Calibri"/>
                <w:sz w:val="22"/>
              </w:rPr>
              <w:t>$359.6M</w:t>
            </w:r>
          </w:p>
        </w:tc>
        <w:tc>
          <w:tcPr>
            <w:tcW w:type="dxa" w:w="1234"/>
          </w:tcPr>
          <w:p>
            <w:r>
              <w:rPr>
                <w:rFonts w:ascii="Calibri" w:hAnsi="Calibri"/>
                <w:sz w:val="22"/>
              </w:rPr>
              <w:t>+10.9%</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Revenue – Fire Protection ($M)</w:t>
            </w:r>
          </w:p>
        </w:tc>
        <w:tc>
          <w:tcPr>
            <w:tcW w:type="dxa" w:w="1234"/>
          </w:tcPr>
          <w:p>
            <w:r>
              <w:rPr>
                <w:rFonts w:ascii="Calibri" w:hAnsi="Calibri"/>
                <w:sz w:val="22"/>
              </w:rPr>
              <w:t>$232.1M</w:t>
            </w:r>
          </w:p>
        </w:tc>
        <w:tc>
          <w:tcPr>
            <w:tcW w:type="dxa" w:w="1234"/>
          </w:tcPr>
          <w:p>
            <w:r>
              <w:rPr>
                <w:rFonts w:ascii="Calibri" w:hAnsi="Calibri"/>
                <w:sz w:val="22"/>
              </w:rPr>
              <w:t>$222.4M</w:t>
            </w:r>
          </w:p>
        </w:tc>
        <w:tc>
          <w:tcPr>
            <w:tcW w:type="dxa" w:w="1234"/>
          </w:tcPr>
          <w:p>
            <w:r>
              <w:rPr>
                <w:rFonts w:ascii="Calibri" w:hAnsi="Calibri"/>
                <w:sz w:val="22"/>
              </w:rPr>
              <w:t>$247.3M</w:t>
            </w:r>
          </w:p>
        </w:tc>
        <w:tc>
          <w:tcPr>
            <w:tcW w:type="dxa" w:w="1234"/>
          </w:tcPr>
          <w:p>
            <w:r>
              <w:rPr>
                <w:rFonts w:ascii="Calibri" w:hAnsi="Calibri"/>
                <w:sz w:val="22"/>
              </w:rPr>
              <w:t>+11.2%</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$530.6M</w:t>
            </w:r>
          </w:p>
        </w:tc>
        <w:tc>
          <w:tcPr>
            <w:tcW w:type="dxa" w:w="1234"/>
          </w:tcPr>
          <w:p>
            <w:r>
              <w:rPr>
                <w:rFonts w:ascii="Calibri" w:hAnsi="Calibri"/>
                <w:sz w:val="22"/>
              </w:rPr>
              <w:t>$521.1M</w:t>
            </w:r>
          </w:p>
        </w:tc>
        <w:tc>
          <w:tcPr>
            <w:tcW w:type="dxa" w:w="1234"/>
          </w:tcPr>
          <w:p>
            <w:r>
              <w:rPr>
                <w:rFonts w:ascii="Calibri" w:hAnsi="Calibri"/>
                <w:sz w:val="22"/>
              </w:rPr>
              <w:t>$617.6M</w:t>
            </w:r>
          </w:p>
        </w:tc>
        <w:tc>
          <w:tcPr>
            <w:tcW w:type="dxa" w:w="1234"/>
          </w:tcPr>
          <w:p>
            <w:r>
              <w:rPr>
                <w:rFonts w:ascii="Calibri" w:hAnsi="Calibri"/>
                <w:sz w:val="22"/>
              </w:rPr>
              <w:t>+18.5%</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14, 2026. FY guidance from Q3 FY2026 earnings call (March 25, 2026). Organic growth consensus implied from VA data; implied Q4 organic of ~7.6% per management commentary on Q3 call.</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Q3 FY2026</w:t>
            </w:r>
          </w:p>
        </w:tc>
        <w:tc>
          <w:tcPr>
            <w:tcW w:type="dxa" w:w="1440"/>
          </w:tcPr>
          <w:p>
            <w:r>
              <w:rPr>
                <w:rFonts w:ascii="Calibri" w:hAnsi="Calibri"/>
                <w:sz w:val="22"/>
              </w:rPr>
              <w:t>Revenue</w:t>
            </w:r>
          </w:p>
        </w:tc>
        <w:tc>
          <w:tcPr>
            <w:tcW w:type="dxa" w:w="1440"/>
          </w:tcPr>
          <w:p>
            <w:r>
              <w:rPr>
                <w:rFonts w:ascii="Calibri" w:hAnsi="Calibri"/>
                <w:sz w:val="22"/>
              </w:rPr>
              <w:t>$2.841B</w:t>
            </w:r>
          </w:p>
        </w:tc>
        <w:tc>
          <w:tcPr>
            <w:tcW w:type="dxa" w:w="1440"/>
          </w:tcPr>
          <w:p>
            <w:r>
              <w:rPr>
                <w:rFonts w:ascii="Calibri" w:hAnsi="Calibri"/>
                <w:sz w:val="22"/>
              </w:rPr>
              <w:t>$2.821B</w:t>
            </w:r>
          </w:p>
        </w:tc>
        <w:tc>
          <w:tcPr>
            <w:tcW w:type="dxa" w:w="1440"/>
          </w:tcPr>
          <w:p>
            <w:r>
              <w:rPr>
                <w:rFonts w:ascii="Calibri" w:hAnsi="Calibri"/>
                <w:b/>
                <w:color w:val="30A46C"/>
                <w:sz w:val="22"/>
              </w:rPr>
              <w:t>+0.7%</w:t>
            </w:r>
          </w:p>
        </w:tc>
        <w:tc>
          <w:tcPr>
            <w:tcW w:type="dxa" w:w="1440"/>
          </w:tcPr>
          <w:p>
            <w:r>
              <w:rPr>
                <w:rFonts w:ascii="Calibri" w:hAnsi="Calibri"/>
                <w:sz w:val="22"/>
              </w:rPr>
              <w:t>Beat</w:t>
            </w:r>
          </w:p>
        </w:tc>
      </w:tr>
      <w:tr>
        <w:tc>
          <w:tcPr>
            <w:tcW w:type="dxa" w:w="1440"/>
          </w:tcPr>
          <w:p>
            <w:r>
              <w:rPr>
                <w:rFonts w:ascii="Calibri" w:hAnsi="Calibri"/>
                <w:sz w:val="22"/>
              </w:rPr>
              <w:t>Q3 FY2026</w:t>
            </w:r>
          </w:p>
        </w:tc>
        <w:tc>
          <w:tcPr>
            <w:tcW w:type="dxa" w:w="1440"/>
          </w:tcPr>
          <w:p>
            <w:r>
              <w:rPr>
                <w:rFonts w:ascii="Calibri" w:hAnsi="Calibri"/>
                <w:sz w:val="22"/>
              </w:rPr>
              <w:t>Adj. EPS</w:t>
            </w:r>
          </w:p>
        </w:tc>
        <w:tc>
          <w:tcPr>
            <w:tcW w:type="dxa" w:w="1440"/>
          </w:tcPr>
          <w:p>
            <w:r>
              <w:rPr>
                <w:rFonts w:ascii="Calibri" w:hAnsi="Calibri"/>
                <w:sz w:val="22"/>
              </w:rPr>
              <w:t>$1.236</w:t>
            </w:r>
          </w:p>
        </w:tc>
        <w:tc>
          <w:tcPr>
            <w:tcW w:type="dxa" w:w="1440"/>
          </w:tcPr>
          <w:p>
            <w:r>
              <w:rPr>
                <w:rFonts w:ascii="Calibri" w:hAnsi="Calibri"/>
                <w:sz w:val="22"/>
              </w:rPr>
              <w:t>$1.240</w:t>
            </w:r>
          </w:p>
        </w:tc>
        <w:tc>
          <w:tcPr>
            <w:tcW w:type="dxa" w:w="1440"/>
          </w:tcPr>
          <w:p>
            <w:r>
              <w:rPr>
                <w:rFonts w:ascii="Calibri" w:hAnsi="Calibri"/>
                <w:sz w:val="22"/>
              </w:rPr>
              <w:t>-0.3%</w:t>
            </w:r>
          </w:p>
        </w:tc>
        <w:tc>
          <w:tcPr>
            <w:tcW w:type="dxa" w:w="1440"/>
          </w:tcPr>
          <w:p>
            <w:r>
              <w:rPr>
                <w:rFonts w:ascii="Calibri" w:hAnsi="Calibri"/>
                <w:sz w:val="22"/>
              </w:rPr>
              <w:t>In-Line</w:t>
            </w:r>
          </w:p>
        </w:tc>
      </w:tr>
      <w:tr>
        <w:tc>
          <w:tcPr>
            <w:tcW w:type="dxa" w:w="1440"/>
          </w:tcPr>
          <w:p>
            <w:r>
              <w:rPr>
                <w:rFonts w:ascii="Calibri" w:hAnsi="Calibri"/>
                <w:sz w:val="22"/>
              </w:rPr>
              <w:t>Q2 FY2026</w:t>
            </w:r>
          </w:p>
        </w:tc>
        <w:tc>
          <w:tcPr>
            <w:tcW w:type="dxa" w:w="1440"/>
          </w:tcPr>
          <w:p>
            <w:r>
              <w:rPr>
                <w:rFonts w:ascii="Calibri" w:hAnsi="Calibri"/>
                <w:sz w:val="22"/>
              </w:rPr>
              <w:t>Revenue</w:t>
            </w:r>
          </w:p>
        </w:tc>
        <w:tc>
          <w:tcPr>
            <w:tcW w:type="dxa" w:w="1440"/>
          </w:tcPr>
          <w:p>
            <w:r>
              <w:rPr>
                <w:rFonts w:ascii="Calibri" w:hAnsi="Calibri"/>
                <w:sz w:val="22"/>
              </w:rPr>
              <w:t>$2.800B</w:t>
            </w:r>
          </w:p>
        </w:tc>
        <w:tc>
          <w:tcPr>
            <w:tcW w:type="dxa" w:w="1440"/>
          </w:tcPr>
          <w:p>
            <w:r>
              <w:rPr>
                <w:rFonts w:ascii="Calibri" w:hAnsi="Calibri"/>
                <w:sz w:val="22"/>
              </w:rPr>
              <w:t>$2.761B</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Q2 FY2026</w:t>
            </w:r>
          </w:p>
        </w:tc>
        <w:tc>
          <w:tcPr>
            <w:tcW w:type="dxa" w:w="1440"/>
          </w:tcPr>
          <w:p>
            <w:r>
              <w:rPr>
                <w:rFonts w:ascii="Calibri" w:hAnsi="Calibri"/>
                <w:sz w:val="22"/>
              </w:rPr>
              <w:t>Adj. EPS</w:t>
            </w:r>
          </w:p>
        </w:tc>
        <w:tc>
          <w:tcPr>
            <w:tcW w:type="dxa" w:w="1440"/>
          </w:tcPr>
          <w:p>
            <w:r>
              <w:rPr>
                <w:rFonts w:ascii="Calibri" w:hAnsi="Calibri"/>
                <w:sz w:val="22"/>
              </w:rPr>
              <w:t>$1.214</w:t>
            </w:r>
          </w:p>
        </w:tc>
        <w:tc>
          <w:tcPr>
            <w:tcW w:type="dxa" w:w="1440"/>
          </w:tcPr>
          <w:p>
            <w:r>
              <w:rPr>
                <w:rFonts w:ascii="Calibri" w:hAnsi="Calibri"/>
                <w:sz w:val="22"/>
              </w:rPr>
              <w:t>$1.195</w:t>
            </w:r>
          </w:p>
        </w:tc>
        <w:tc>
          <w:tcPr>
            <w:tcW w:type="dxa" w:w="1440"/>
          </w:tcPr>
          <w:p>
            <w:r>
              <w:rPr>
                <w:rFonts w:ascii="Calibri" w:hAnsi="Calibri"/>
                <w:b/>
                <w:color w:val="30A46C"/>
                <w:sz w:val="22"/>
              </w:rPr>
              <w:t>+1.6%</w:t>
            </w:r>
          </w:p>
        </w:tc>
        <w:tc>
          <w:tcPr>
            <w:tcW w:type="dxa" w:w="1440"/>
          </w:tcPr>
          <w:p>
            <w:r>
              <w:rPr>
                <w:rFonts w:ascii="Calibri" w:hAnsi="Calibri"/>
                <w:sz w:val="22"/>
              </w:rPr>
              <w:t>Beat</w:t>
            </w:r>
          </w:p>
        </w:tc>
      </w:tr>
      <w:tr>
        <w:tc>
          <w:tcPr>
            <w:tcW w:type="dxa" w:w="1440"/>
          </w:tcPr>
          <w:p>
            <w:r>
              <w:rPr>
                <w:rFonts w:ascii="Calibri" w:hAnsi="Calibri"/>
                <w:sz w:val="22"/>
              </w:rPr>
              <w:t>Q1 FY2026</w:t>
            </w:r>
          </w:p>
        </w:tc>
        <w:tc>
          <w:tcPr>
            <w:tcW w:type="dxa" w:w="1440"/>
          </w:tcPr>
          <w:p>
            <w:r>
              <w:rPr>
                <w:rFonts w:ascii="Calibri" w:hAnsi="Calibri"/>
                <w:sz w:val="22"/>
              </w:rPr>
              <w:t>Revenue</w:t>
            </w:r>
          </w:p>
        </w:tc>
        <w:tc>
          <w:tcPr>
            <w:tcW w:type="dxa" w:w="1440"/>
          </w:tcPr>
          <w:p>
            <w:r>
              <w:rPr>
                <w:rFonts w:ascii="Calibri" w:hAnsi="Calibri"/>
                <w:sz w:val="22"/>
              </w:rPr>
              <w:t>$2.718B</w:t>
            </w:r>
          </w:p>
        </w:tc>
        <w:tc>
          <w:tcPr>
            <w:tcW w:type="dxa" w:w="1440"/>
          </w:tcPr>
          <w:p>
            <w:r>
              <w:rPr>
                <w:rFonts w:ascii="Calibri" w:hAnsi="Calibri"/>
                <w:sz w:val="22"/>
              </w:rPr>
              <w:t>$2.693B</w:t>
            </w:r>
          </w:p>
        </w:tc>
        <w:tc>
          <w:tcPr>
            <w:tcW w:type="dxa" w:w="1440"/>
          </w:tcPr>
          <w:p>
            <w:r>
              <w:rPr>
                <w:rFonts w:ascii="Calibri" w:hAnsi="Calibri"/>
                <w:b/>
                <w:color w:val="30A46C"/>
                <w:sz w:val="22"/>
              </w:rPr>
              <w:t>+0.9%</w:t>
            </w:r>
          </w:p>
        </w:tc>
        <w:tc>
          <w:tcPr>
            <w:tcW w:type="dxa" w:w="1440"/>
          </w:tcPr>
          <w:p>
            <w:r>
              <w:rPr>
                <w:rFonts w:ascii="Calibri" w:hAnsi="Calibri"/>
                <w:sz w:val="22"/>
              </w:rPr>
              <w:t>Beat</w:t>
            </w:r>
          </w:p>
        </w:tc>
      </w:tr>
      <w:tr>
        <w:tc>
          <w:tcPr>
            <w:tcW w:type="dxa" w:w="1440"/>
          </w:tcPr>
          <w:p>
            <w:r>
              <w:rPr>
                <w:rFonts w:ascii="Calibri" w:hAnsi="Calibri"/>
                <w:sz w:val="22"/>
              </w:rPr>
              <w:t>Q1 FY2026</w:t>
            </w:r>
          </w:p>
        </w:tc>
        <w:tc>
          <w:tcPr>
            <w:tcW w:type="dxa" w:w="1440"/>
          </w:tcPr>
          <w:p>
            <w:r>
              <w:rPr>
                <w:rFonts w:ascii="Calibri" w:hAnsi="Calibri"/>
                <w:sz w:val="22"/>
              </w:rPr>
              <w:t>Adj. EPS</w:t>
            </w:r>
          </w:p>
        </w:tc>
        <w:tc>
          <w:tcPr>
            <w:tcW w:type="dxa" w:w="1440"/>
          </w:tcPr>
          <w:p>
            <w:r>
              <w:rPr>
                <w:rFonts w:ascii="Calibri" w:hAnsi="Calibri"/>
                <w:sz w:val="22"/>
              </w:rPr>
              <w:t>$1.200</w:t>
            </w:r>
          </w:p>
        </w:tc>
        <w:tc>
          <w:tcPr>
            <w:tcW w:type="dxa" w:w="1440"/>
          </w:tcPr>
          <w:p>
            <w:r>
              <w:rPr>
                <w:rFonts w:ascii="Calibri" w:hAnsi="Calibri"/>
                <w:sz w:val="22"/>
              </w:rPr>
              <w:t>$1.190</w:t>
            </w:r>
          </w:p>
        </w:tc>
        <w:tc>
          <w:tcPr>
            <w:tcW w:type="dxa" w:w="1440"/>
          </w:tcPr>
          <w:p>
            <w:r>
              <w:rPr>
                <w:rFonts w:ascii="Calibri" w:hAnsi="Calibri"/>
                <w:b/>
                <w:color w:val="30A46C"/>
                <w:sz w:val="22"/>
              </w:rPr>
              <w:t>+0.8%</w:t>
            </w:r>
          </w:p>
        </w:tc>
        <w:tc>
          <w:tcPr>
            <w:tcW w:type="dxa" w:w="1440"/>
          </w:tcPr>
          <w:p>
            <w:r>
              <w:rPr>
                <w:rFonts w:ascii="Calibri" w:hAnsi="Calibri"/>
                <w:sz w:val="22"/>
              </w:rPr>
              <w:t>Beat</w:t>
            </w:r>
          </w:p>
        </w:tc>
      </w:tr>
      <w:tr>
        <w:tc>
          <w:tcPr>
            <w:tcW w:type="dxa" w:w="1440"/>
          </w:tcPr>
          <w:p>
            <w:r>
              <w:rPr>
                <w:rFonts w:ascii="Calibri" w:hAnsi="Calibri"/>
                <w:sz w:val="22"/>
              </w:rPr>
              <w:t>Q4 FY2025</w:t>
            </w:r>
          </w:p>
        </w:tc>
        <w:tc>
          <w:tcPr>
            <w:tcW w:type="dxa" w:w="1440"/>
          </w:tcPr>
          <w:p>
            <w:r>
              <w:rPr>
                <w:rFonts w:ascii="Calibri" w:hAnsi="Calibri"/>
                <w:sz w:val="22"/>
              </w:rPr>
              <w:t>Revenue</w:t>
            </w:r>
          </w:p>
        </w:tc>
        <w:tc>
          <w:tcPr>
            <w:tcW w:type="dxa" w:w="1440"/>
          </w:tcPr>
          <w:p>
            <w:r>
              <w:rPr>
                <w:rFonts w:ascii="Calibri" w:hAnsi="Calibri"/>
                <w:sz w:val="22"/>
              </w:rPr>
              <w:t>$2.668B</w:t>
            </w:r>
          </w:p>
        </w:tc>
        <w:tc>
          <w:tcPr>
            <w:tcW w:type="dxa" w:w="1440"/>
          </w:tcPr>
          <w:p>
            <w:r>
              <w:rPr>
                <w:rFonts w:ascii="Calibri" w:hAnsi="Calibri"/>
                <w:sz w:val="22"/>
              </w:rPr>
              <w:t>$2.626B</w:t>
            </w:r>
          </w:p>
        </w:tc>
        <w:tc>
          <w:tcPr>
            <w:tcW w:type="dxa" w:w="1440"/>
          </w:tcPr>
          <w:p>
            <w:r>
              <w:rPr>
                <w:rFonts w:ascii="Calibri" w:hAnsi="Calibri"/>
                <w:b/>
                <w:color w:val="30A46C"/>
                <w:sz w:val="22"/>
              </w:rPr>
              <w:t>+1.6%</w:t>
            </w:r>
          </w:p>
        </w:tc>
        <w:tc>
          <w:tcPr>
            <w:tcW w:type="dxa" w:w="1440"/>
          </w:tcPr>
          <w:p>
            <w:r>
              <w:rPr>
                <w:rFonts w:ascii="Calibri" w:hAnsi="Calibri"/>
                <w:sz w:val="22"/>
              </w:rPr>
              <w:t>Beat</w:t>
            </w:r>
          </w:p>
        </w:tc>
      </w:tr>
      <w:tr>
        <w:tc>
          <w:tcPr>
            <w:tcW w:type="dxa" w:w="1440"/>
          </w:tcPr>
          <w:p>
            <w:r>
              <w:rPr>
                <w:rFonts w:ascii="Calibri" w:hAnsi="Calibri"/>
                <w:sz w:val="22"/>
              </w:rPr>
              <w:t>Q4 FY2025</w:t>
            </w:r>
          </w:p>
        </w:tc>
        <w:tc>
          <w:tcPr>
            <w:tcW w:type="dxa" w:w="1440"/>
          </w:tcPr>
          <w:p>
            <w:r>
              <w:rPr>
                <w:rFonts w:ascii="Calibri" w:hAnsi="Calibri"/>
                <w:sz w:val="22"/>
              </w:rPr>
              <w:t>Adj. EPS</w:t>
            </w:r>
          </w:p>
        </w:tc>
        <w:tc>
          <w:tcPr>
            <w:tcW w:type="dxa" w:w="1440"/>
          </w:tcPr>
          <w:p>
            <w:r>
              <w:rPr>
                <w:rFonts w:ascii="Calibri" w:hAnsi="Calibri"/>
                <w:sz w:val="22"/>
              </w:rPr>
              <w:t>$1.090</w:t>
            </w:r>
          </w:p>
        </w:tc>
        <w:tc>
          <w:tcPr>
            <w:tcW w:type="dxa" w:w="1440"/>
          </w:tcPr>
          <w:p>
            <w:r>
              <w:rPr>
                <w:rFonts w:ascii="Calibri" w:hAnsi="Calibri"/>
                <w:sz w:val="22"/>
              </w:rPr>
              <w:t>$1.071</w:t>
            </w:r>
          </w:p>
        </w:tc>
        <w:tc>
          <w:tcPr>
            <w:tcW w:type="dxa" w:w="1440"/>
          </w:tcPr>
          <w:p>
            <w:r>
              <w:rPr>
                <w:rFonts w:ascii="Calibri" w:hAnsi="Calibri"/>
                <w:b/>
                <w:color w:val="30A46C"/>
                <w:sz w:val="22"/>
              </w:rPr>
              <w:t>+1.8%</w:t>
            </w:r>
          </w:p>
        </w:tc>
        <w:tc>
          <w:tcPr>
            <w:tcW w:type="dxa" w:w="1440"/>
          </w:tcPr>
          <w:p>
            <w:r>
              <w:rPr>
                <w:rFonts w:ascii="Calibri" w:hAnsi="Calibri"/>
                <w:sz w:val="22"/>
              </w:rPr>
              <w:t>Beat</w:t>
            </w:r>
          </w:p>
        </w:tc>
      </w:tr>
      <w:tr>
        <w:tc>
          <w:tcPr>
            <w:tcW w:type="dxa" w:w="1440"/>
          </w:tcPr>
          <w:p>
            <w:r>
              <w:rPr>
                <w:rFonts w:ascii="Calibri" w:hAnsi="Calibri"/>
                <w:sz w:val="22"/>
              </w:rPr>
              <w:t>Q3 FY2025</w:t>
            </w:r>
          </w:p>
        </w:tc>
        <w:tc>
          <w:tcPr>
            <w:tcW w:type="dxa" w:w="1440"/>
          </w:tcPr>
          <w:p>
            <w:r>
              <w:rPr>
                <w:rFonts w:ascii="Calibri" w:hAnsi="Calibri"/>
                <w:sz w:val="22"/>
              </w:rPr>
              <w:t>Revenue</w:t>
            </w:r>
          </w:p>
        </w:tc>
        <w:tc>
          <w:tcPr>
            <w:tcW w:type="dxa" w:w="1440"/>
          </w:tcPr>
          <w:p>
            <w:r>
              <w:rPr>
                <w:rFonts w:ascii="Calibri" w:hAnsi="Calibri"/>
                <w:sz w:val="22"/>
              </w:rPr>
              <w:t>$2.609B</w:t>
            </w:r>
          </w:p>
        </w:tc>
        <w:tc>
          <w:tcPr>
            <w:tcW w:type="dxa" w:w="1440"/>
          </w:tcPr>
          <w:p>
            <w:r>
              <w:rPr>
                <w:rFonts w:ascii="Calibri" w:hAnsi="Calibri"/>
                <w:sz w:val="22"/>
              </w:rPr>
              <w:t>$2.596B</w:t>
            </w:r>
          </w:p>
        </w:tc>
        <w:tc>
          <w:tcPr>
            <w:tcW w:type="dxa" w:w="1440"/>
          </w:tcPr>
          <w:p>
            <w:r>
              <w:rPr>
                <w:rFonts w:ascii="Calibri" w:hAnsi="Calibri"/>
                <w:b/>
                <w:color w:val="30A46C"/>
                <w:sz w:val="22"/>
              </w:rPr>
              <w:t>+0.5%</w:t>
            </w:r>
          </w:p>
        </w:tc>
        <w:tc>
          <w:tcPr>
            <w:tcW w:type="dxa" w:w="1440"/>
          </w:tcPr>
          <w:p>
            <w:r>
              <w:rPr>
                <w:rFonts w:ascii="Calibri" w:hAnsi="Calibri"/>
                <w:sz w:val="22"/>
              </w:rPr>
              <w:t>Beat</w:t>
            </w:r>
          </w:p>
        </w:tc>
      </w:tr>
      <w:tr>
        <w:tc>
          <w:tcPr>
            <w:tcW w:type="dxa" w:w="1440"/>
          </w:tcPr>
          <w:p>
            <w:r>
              <w:rPr>
                <w:rFonts w:ascii="Calibri" w:hAnsi="Calibri"/>
                <w:sz w:val="22"/>
              </w:rPr>
              <w:t>Q3 FY2025</w:t>
            </w:r>
          </w:p>
        </w:tc>
        <w:tc>
          <w:tcPr>
            <w:tcW w:type="dxa" w:w="1440"/>
          </w:tcPr>
          <w:p>
            <w:r>
              <w:rPr>
                <w:rFonts w:ascii="Calibri" w:hAnsi="Calibri"/>
                <w:sz w:val="22"/>
              </w:rPr>
              <w:t>Adj. EPS</w:t>
            </w:r>
          </w:p>
        </w:tc>
        <w:tc>
          <w:tcPr>
            <w:tcW w:type="dxa" w:w="1440"/>
          </w:tcPr>
          <w:p>
            <w:r>
              <w:rPr>
                <w:rFonts w:ascii="Calibri" w:hAnsi="Calibri"/>
                <w:sz w:val="22"/>
              </w:rPr>
              <w:t>$1.130</w:t>
            </w:r>
          </w:p>
        </w:tc>
        <w:tc>
          <w:tcPr>
            <w:tcW w:type="dxa" w:w="1440"/>
          </w:tcPr>
          <w:p>
            <w:r>
              <w:rPr>
                <w:rFonts w:ascii="Calibri" w:hAnsi="Calibri"/>
                <w:sz w:val="22"/>
              </w:rPr>
              <w:t>$1.052</w:t>
            </w:r>
          </w:p>
        </w:tc>
        <w:tc>
          <w:tcPr>
            <w:tcW w:type="dxa" w:w="1440"/>
          </w:tcPr>
          <w:p>
            <w:r>
              <w:rPr>
                <w:rFonts w:ascii="Calibri" w:hAnsi="Calibri"/>
                <w:b/>
                <w:color w:val="30A46C"/>
                <w:sz w:val="22"/>
              </w:rPr>
              <w:t>+7.4%</w:t>
            </w:r>
          </w:p>
        </w:tc>
        <w:tc>
          <w:tcPr>
            <w:tcW w:type="dxa" w:w="1440"/>
          </w:tcPr>
          <w:p>
            <w:r>
              <w:rPr>
                <w:rFonts w:ascii="Calibri" w:hAnsi="Calibri"/>
                <w:sz w:val="22"/>
              </w:rPr>
              <w:t>Beat</w:t>
            </w:r>
          </w:p>
        </w:tc>
      </w:tr>
      <w:tr>
        <w:tc>
          <w:tcPr>
            <w:tcW w:type="dxa" w:w="1440"/>
          </w:tcPr>
          <w:p>
            <w:r>
              <w:rPr>
                <w:rFonts w:ascii="Calibri" w:hAnsi="Calibri"/>
                <w:sz w:val="22"/>
              </w:rPr>
              <w:t>Q2 FY2025</w:t>
            </w:r>
          </w:p>
        </w:tc>
        <w:tc>
          <w:tcPr>
            <w:tcW w:type="dxa" w:w="1440"/>
          </w:tcPr>
          <w:p>
            <w:r>
              <w:rPr>
                <w:rFonts w:ascii="Calibri" w:hAnsi="Calibri"/>
                <w:sz w:val="22"/>
              </w:rPr>
              <w:t>Revenue</w:t>
            </w:r>
          </w:p>
        </w:tc>
        <w:tc>
          <w:tcPr>
            <w:tcW w:type="dxa" w:w="1440"/>
          </w:tcPr>
          <w:p>
            <w:r>
              <w:rPr>
                <w:rFonts w:ascii="Calibri" w:hAnsi="Calibri"/>
                <w:sz w:val="22"/>
              </w:rPr>
              <w:t>$2.562B</w:t>
            </w:r>
          </w:p>
        </w:tc>
        <w:tc>
          <w:tcPr>
            <w:tcW w:type="dxa" w:w="1440"/>
          </w:tcPr>
          <w:p>
            <w:r>
              <w:rPr>
                <w:rFonts w:ascii="Calibri" w:hAnsi="Calibri"/>
                <w:sz w:val="22"/>
              </w:rPr>
              <w:t>$2.560B</w:t>
            </w:r>
          </w:p>
        </w:tc>
        <w:tc>
          <w:tcPr>
            <w:tcW w:type="dxa" w:w="1440"/>
          </w:tcPr>
          <w:p>
            <w:r>
              <w:rPr>
                <w:rFonts w:ascii="Calibri" w:hAnsi="Calibri"/>
                <w:b/>
                <w:color w:val="30A46C"/>
                <w:sz w:val="22"/>
              </w:rPr>
              <w:t>+0.1%</w:t>
            </w:r>
          </w:p>
        </w:tc>
        <w:tc>
          <w:tcPr>
            <w:tcW w:type="dxa" w:w="1440"/>
          </w:tcPr>
          <w:p>
            <w:r>
              <w:rPr>
                <w:rFonts w:ascii="Calibri" w:hAnsi="Calibri"/>
                <w:sz w:val="22"/>
              </w:rPr>
              <w:t>Beat</w:t>
            </w:r>
          </w:p>
        </w:tc>
      </w:tr>
      <w:tr>
        <w:tc>
          <w:tcPr>
            <w:tcW w:type="dxa" w:w="1440"/>
          </w:tcPr>
          <w:p>
            <w:r>
              <w:rPr>
                <w:rFonts w:ascii="Calibri" w:hAnsi="Calibri"/>
                <w:sz w:val="22"/>
              </w:rPr>
              <w:t>Q2 FY2025</w:t>
            </w:r>
          </w:p>
        </w:tc>
        <w:tc>
          <w:tcPr>
            <w:tcW w:type="dxa" w:w="1440"/>
          </w:tcPr>
          <w:p>
            <w:r>
              <w:rPr>
                <w:rFonts w:ascii="Calibri" w:hAnsi="Calibri"/>
                <w:sz w:val="22"/>
              </w:rPr>
              <w:t>Adj. EPS</w:t>
            </w:r>
          </w:p>
        </w:tc>
        <w:tc>
          <w:tcPr>
            <w:tcW w:type="dxa" w:w="1440"/>
          </w:tcPr>
          <w:p>
            <w:r>
              <w:rPr>
                <w:rFonts w:ascii="Calibri" w:hAnsi="Calibri"/>
                <w:sz w:val="22"/>
              </w:rPr>
              <w:t>$1.088</w:t>
            </w:r>
          </w:p>
        </w:tc>
        <w:tc>
          <w:tcPr>
            <w:tcW w:type="dxa" w:w="1440"/>
          </w:tcPr>
          <w:p>
            <w:r>
              <w:rPr>
                <w:rFonts w:ascii="Calibri" w:hAnsi="Calibri"/>
                <w:sz w:val="22"/>
              </w:rPr>
              <w:t>$1.014</w:t>
            </w:r>
          </w:p>
        </w:tc>
        <w:tc>
          <w:tcPr>
            <w:tcW w:type="dxa" w:w="1440"/>
          </w:tcPr>
          <w:p>
            <w:r>
              <w:rPr>
                <w:rFonts w:ascii="Calibri" w:hAnsi="Calibri"/>
                <w:b/>
                <w:color w:val="30A46C"/>
                <w:sz w:val="22"/>
              </w:rPr>
              <w:t>+7.3%</w:t>
            </w:r>
          </w:p>
        </w:tc>
        <w:tc>
          <w:tcPr>
            <w:tcW w:type="dxa" w:w="1440"/>
          </w:tcPr>
          <w:p>
            <w:r>
              <w:rPr>
                <w:rFonts w:ascii="Calibri" w:hAnsi="Calibri"/>
                <w:sz w:val="22"/>
              </w:rPr>
              <w:t>Beat</w:t>
            </w:r>
          </w:p>
        </w:tc>
      </w:tr>
      <w:tr>
        <w:tc>
          <w:tcPr>
            <w:tcW w:type="dxa" w:w="1440"/>
          </w:tcPr>
          <w:p>
            <w:r>
              <w:rPr>
                <w:rFonts w:ascii="Calibri" w:hAnsi="Calibri"/>
                <w:sz w:val="22"/>
              </w:rPr>
              <w:t>Q1 FY2025</w:t>
            </w:r>
          </w:p>
        </w:tc>
        <w:tc>
          <w:tcPr>
            <w:tcW w:type="dxa" w:w="1440"/>
          </w:tcPr>
          <w:p>
            <w:r>
              <w:rPr>
                <w:rFonts w:ascii="Calibri" w:hAnsi="Calibri"/>
                <w:sz w:val="22"/>
              </w:rPr>
              <w:t>Revenue</w:t>
            </w:r>
          </w:p>
        </w:tc>
        <w:tc>
          <w:tcPr>
            <w:tcW w:type="dxa" w:w="1440"/>
          </w:tcPr>
          <w:p>
            <w:r>
              <w:rPr>
                <w:rFonts w:ascii="Calibri" w:hAnsi="Calibri"/>
                <w:sz w:val="22"/>
              </w:rPr>
              <w:t>$2.502B</w:t>
            </w:r>
          </w:p>
        </w:tc>
        <w:tc>
          <w:tcPr>
            <w:tcW w:type="dxa" w:w="1440"/>
          </w:tcPr>
          <w:p>
            <w:r>
              <w:rPr>
                <w:rFonts w:ascii="Calibri" w:hAnsi="Calibri"/>
                <w:sz w:val="22"/>
              </w:rPr>
              <w:t>$2.495B</w:t>
            </w:r>
          </w:p>
        </w:tc>
        <w:tc>
          <w:tcPr>
            <w:tcW w:type="dxa" w:w="1440"/>
          </w:tcPr>
          <w:p>
            <w:r>
              <w:rPr>
                <w:rFonts w:ascii="Calibri" w:hAnsi="Calibri"/>
                <w:b/>
                <w:color w:val="30A46C"/>
                <w:sz w:val="22"/>
              </w:rPr>
              <w:t>+0.3%</w:t>
            </w:r>
          </w:p>
        </w:tc>
        <w:tc>
          <w:tcPr>
            <w:tcW w:type="dxa" w:w="1440"/>
          </w:tcPr>
          <w:p>
            <w:r>
              <w:rPr>
                <w:rFonts w:ascii="Calibri" w:hAnsi="Calibri"/>
                <w:sz w:val="22"/>
              </w:rPr>
              <w:t>Beat</w:t>
            </w:r>
          </w:p>
        </w:tc>
      </w:tr>
      <w:tr>
        <w:tc>
          <w:tcPr>
            <w:tcW w:type="dxa" w:w="1440"/>
          </w:tcPr>
          <w:p>
            <w:r>
              <w:rPr>
                <w:rFonts w:ascii="Calibri" w:hAnsi="Calibri"/>
                <w:sz w:val="22"/>
              </w:rPr>
              <w:t>Q1 FY2025</w:t>
            </w:r>
          </w:p>
        </w:tc>
        <w:tc>
          <w:tcPr>
            <w:tcW w:type="dxa" w:w="1440"/>
          </w:tcPr>
          <w:p>
            <w:r>
              <w:rPr>
                <w:rFonts w:ascii="Calibri" w:hAnsi="Calibri"/>
                <w:sz w:val="22"/>
              </w:rPr>
              <w:t>Adj. EPS</w:t>
            </w:r>
          </w:p>
        </w:tc>
        <w:tc>
          <w:tcPr>
            <w:tcW w:type="dxa" w:w="1440"/>
          </w:tcPr>
          <w:p>
            <w:r>
              <w:rPr>
                <w:rFonts w:ascii="Calibri" w:hAnsi="Calibri"/>
                <w:sz w:val="22"/>
              </w:rPr>
              <w:t>$1.101</w:t>
            </w:r>
          </w:p>
        </w:tc>
        <w:tc>
          <w:tcPr>
            <w:tcW w:type="dxa" w:w="1440"/>
          </w:tcPr>
          <w:p>
            <w:r>
              <w:rPr>
                <w:rFonts w:ascii="Calibri" w:hAnsi="Calibri"/>
                <w:sz w:val="22"/>
              </w:rPr>
              <w:t>$1.004</w:t>
            </w:r>
          </w:p>
        </w:tc>
        <w:tc>
          <w:tcPr>
            <w:tcW w:type="dxa" w:w="1440"/>
          </w:tcPr>
          <w:p>
            <w:r>
              <w:rPr>
                <w:rFonts w:ascii="Calibri" w:hAnsi="Calibri"/>
                <w:b/>
                <w:color w:val="30A46C"/>
                <w:sz w:val="22"/>
              </w:rPr>
              <w:t>+9.7%</w:t>
            </w:r>
          </w:p>
        </w:tc>
        <w:tc>
          <w:tcPr>
            <w:tcW w:type="dxa" w:w="1440"/>
          </w:tcPr>
          <w:p>
            <w:r>
              <w:rPr>
                <w:rFonts w:ascii="Calibri" w:hAnsi="Calibri"/>
                <w:sz w:val="22"/>
              </w:rPr>
              <w:t>Beat</w:t>
            </w:r>
          </w:p>
        </w:tc>
      </w:tr>
    </w:tbl>
    <w:p>
      <w:r>
        <w:rPr>
          <w:rFonts w:ascii="Calibri" w:hAnsi="Calibri"/>
          <w:i/>
          <w:color w:val="525866"/>
          <w:sz w:val="22"/>
        </w:rPr>
        <w:t xml:space="preserve">Source: Visible Alpha Consensus and Actuals Data. </w:t>
      </w:r>
      <w:r>
        <w:rPr>
          <w:rFonts w:ascii="Calibri" w:hAnsi="Calibri"/>
          <w:i/>
          <w:color w:val="525866"/>
          <w:sz w:val="22"/>
        </w:rPr>
        <w:t>Pattern: CTAS has beaten revenue consensus in all 8 of the last 8 quarters; EPS beats have been consistent but the magnitude has compressed in recent quarters as the bar has been raised, with Q3 FY2026 essentially in-line on EPS after two large beats in Q1–Q2 FY2025.</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Management raised FY2026 guidance for the third consecutive quarter at the Q3 print, and tone has remained consistently confident despite macro uncertainty — but the Q4 organic growth implied by the guidance range (~7.6%) is the softest quarter of the year, and management explicitly flagged the tough comp as the reason.</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Original FY2026 Guidance (Q4 FY2025 Call)</w:t>
            </w:r>
          </w:p>
        </w:tc>
        <w:tc>
          <w:tcPr>
            <w:tcW w:type="dxa" w:w="2160"/>
            <w:shd w:val="clear" w:color="auto" w:fill="3B4259"/>
          </w:tcPr>
          <w:p>
            <w:r>
              <w:rPr>
                <w:rFonts w:ascii="Calibri" w:hAnsi="Calibri"/>
                <w:b/>
                <w:color w:val="FFFFFF"/>
                <w:sz w:val="22"/>
              </w:rPr>
              <w:t>Revised Guidance (Q3 FY2026 Call — Mar 25, 2026)</w:t>
            </w:r>
          </w:p>
        </w:tc>
        <w:tc>
          <w:tcPr>
            <w:tcW w:type="dxa" w:w="2160"/>
            <w:shd w:val="clear" w:color="auto" w:fill="3B4259"/>
          </w:tcPr>
          <w:p>
            <w:r>
              <w:rPr>
                <w:rFonts w:ascii="Calibri" w:hAnsi="Calibri"/>
                <w:b/>
                <w:color w:val="FFFFFF"/>
                <w:sz w:val="22"/>
              </w:rPr>
              <w:t>Change</w:t>
            </w:r>
          </w:p>
        </w:tc>
      </w:tr>
      <w:tr>
        <w:tc>
          <w:tcPr>
            <w:tcW w:type="dxa" w:w="2160"/>
          </w:tcPr>
          <w:p>
            <w:r>
              <w:rPr>
                <w:rFonts w:ascii="Calibri" w:hAnsi="Calibri"/>
                <w:sz w:val="22"/>
              </w:rPr>
              <w:t>Revenue</w:t>
            </w:r>
          </w:p>
        </w:tc>
        <w:tc>
          <w:tcPr>
            <w:tcW w:type="dxa" w:w="2160"/>
          </w:tcPr>
          <w:p>
            <w:r>
              <w:rPr>
                <w:rFonts w:ascii="Calibri" w:hAnsi="Calibri"/>
                <w:sz w:val="22"/>
              </w:rPr>
              <w:t>~$11.0–$11.1B (initial range)</w:t>
            </w:r>
          </w:p>
        </w:tc>
        <w:tc>
          <w:tcPr>
            <w:tcW w:type="dxa" w:w="2160"/>
          </w:tcPr>
          <w:p>
            <w:r>
              <w:rPr>
                <w:rFonts w:ascii="Calibri" w:hAnsi="Calibri"/>
                <w:sz w:val="22"/>
              </w:rPr>
              <w:t>$11.21B–$11.24B</w:t>
            </w:r>
          </w:p>
        </w:tc>
        <w:tc>
          <w:tcPr>
            <w:tcW w:type="dxa" w:w="2160"/>
          </w:tcPr>
          <w:p>
            <w:r>
              <w:rPr>
                <w:rFonts w:ascii="Calibri" w:hAnsi="Calibri"/>
                <w:b/>
                <w:color w:val="30A46C"/>
                <w:sz w:val="22"/>
              </w:rPr>
              <w:t>Raised ~$150M at midpoint</w:t>
            </w:r>
          </w:p>
        </w:tc>
      </w:tr>
      <w:tr>
        <w:tc>
          <w:tcPr>
            <w:tcW w:type="dxa" w:w="2160"/>
          </w:tcPr>
          <w:p>
            <w:r>
              <w:rPr>
                <w:rFonts w:ascii="Calibri" w:hAnsi="Calibri"/>
                <w:sz w:val="22"/>
              </w:rPr>
              <w:t>Total Revenue Growth</w:t>
            </w:r>
          </w:p>
        </w:tc>
        <w:tc>
          <w:tcPr>
            <w:tcW w:type="dxa" w:w="2160"/>
          </w:tcPr>
          <w:p>
            <w:r>
              <w:rPr>
                <w:rFonts w:ascii="Calibri" w:hAnsi="Calibri"/>
                <w:sz w:val="22"/>
              </w:rPr>
              <w:t>~7–8%</w:t>
            </w:r>
          </w:p>
        </w:tc>
        <w:tc>
          <w:tcPr>
            <w:tcW w:type="dxa" w:w="2160"/>
          </w:tcPr>
          <w:p>
            <w:r>
              <w:rPr>
                <w:rFonts w:ascii="Calibri" w:hAnsi="Calibri"/>
                <w:sz w:val="22"/>
              </w:rPr>
              <w:t>8.4%–8.7%</w:t>
            </w:r>
          </w:p>
        </w:tc>
        <w:tc>
          <w:tcPr>
            <w:tcW w:type="dxa" w:w="2160"/>
          </w:tcPr>
          <w:p>
            <w:r>
              <w:rPr>
                <w:rFonts w:ascii="Calibri" w:hAnsi="Calibri"/>
                <w:b/>
                <w:color w:val="30A46C"/>
                <w:sz w:val="22"/>
              </w:rPr>
              <w:t>Raised</w:t>
            </w:r>
          </w:p>
        </w:tc>
      </w:tr>
      <w:tr>
        <w:tc>
          <w:tcPr>
            <w:tcW w:type="dxa" w:w="2160"/>
          </w:tcPr>
          <w:p>
            <w:r>
              <w:rPr>
                <w:rFonts w:ascii="Calibri" w:hAnsi="Calibri"/>
                <w:sz w:val="22"/>
              </w:rPr>
              <w:t>Adj. Diluted EPS</w:t>
            </w:r>
          </w:p>
        </w:tc>
        <w:tc>
          <w:tcPr>
            <w:tcW w:type="dxa" w:w="2160"/>
          </w:tcPr>
          <w:p>
            <w:r>
              <w:rPr>
                <w:rFonts w:ascii="Calibri" w:hAnsi="Calibri"/>
                <w:sz w:val="22"/>
              </w:rPr>
              <w:t>~$4.74–$4.80 (initial range)</w:t>
            </w:r>
          </w:p>
        </w:tc>
        <w:tc>
          <w:tcPr>
            <w:tcW w:type="dxa" w:w="2160"/>
          </w:tcPr>
          <w:p>
            <w:r>
              <w:rPr>
                <w:rFonts w:ascii="Calibri" w:hAnsi="Calibri"/>
                <w:sz w:val="22"/>
              </w:rPr>
              <w:t>$4.86–$4.90</w:t>
            </w:r>
          </w:p>
        </w:tc>
        <w:tc>
          <w:tcPr>
            <w:tcW w:type="dxa" w:w="2160"/>
          </w:tcPr>
          <w:p>
            <w:r>
              <w:rPr>
                <w:rFonts w:ascii="Calibri" w:hAnsi="Calibri"/>
                <w:b/>
                <w:color w:val="30A46C"/>
                <w:sz w:val="22"/>
              </w:rPr>
              <w:t>Raised ~$0.10 at midpoint</w:t>
            </w:r>
          </w:p>
        </w:tc>
      </w:tr>
      <w:tr>
        <w:tc>
          <w:tcPr>
            <w:tcW w:type="dxa" w:w="2160"/>
          </w:tcPr>
          <w:p>
            <w:r>
              <w:rPr>
                <w:rFonts w:ascii="Calibri" w:hAnsi="Calibri"/>
                <w:sz w:val="22"/>
              </w:rPr>
              <w:t>EPS Growth</w:t>
            </w:r>
          </w:p>
        </w:tc>
        <w:tc>
          <w:tcPr>
            <w:tcW w:type="dxa" w:w="2160"/>
          </w:tcPr>
          <w:p>
            <w:r>
              <w:rPr>
                <w:rFonts w:ascii="Calibri" w:hAnsi="Calibri"/>
                <w:sz w:val="22"/>
              </w:rPr>
              <w:t>~8–10%</w:t>
            </w:r>
          </w:p>
        </w:tc>
        <w:tc>
          <w:tcPr>
            <w:tcW w:type="dxa" w:w="2160"/>
          </w:tcPr>
          <w:p>
            <w:r>
              <w:rPr>
                <w:rFonts w:ascii="Calibri" w:hAnsi="Calibri"/>
                <w:sz w:val="22"/>
              </w:rPr>
              <w:t>10.5%–11.4%</w:t>
            </w:r>
          </w:p>
        </w:tc>
        <w:tc>
          <w:tcPr>
            <w:tcW w:type="dxa" w:w="2160"/>
          </w:tcPr>
          <w:p>
            <w:r>
              <w:rPr>
                <w:rFonts w:ascii="Calibri" w:hAnsi="Calibri"/>
                <w:b/>
                <w:color w:val="30A46C"/>
                <w:sz w:val="22"/>
              </w:rPr>
              <w:t>Raised</w:t>
            </w:r>
          </w:p>
        </w:tc>
      </w:tr>
      <w:tr>
        <w:tc>
          <w:tcPr>
            <w:tcW w:type="dxa" w:w="2160"/>
          </w:tcPr>
          <w:p>
            <w:r>
              <w:rPr>
                <w:rFonts w:ascii="Calibri" w:hAnsi="Calibri"/>
                <w:sz w:val="22"/>
              </w:rPr>
              <w:t>Organic Growth (H2 FY2026)</w:t>
            </w:r>
          </w:p>
        </w:tc>
        <w:tc>
          <w:tcPr>
            <w:tcW w:type="dxa" w:w="2160"/>
          </w:tcPr>
          <w:p>
            <w:r>
              <w:rPr>
                <w:rFonts w:ascii="Calibri" w:hAnsi="Calibri"/>
                <w:sz w:val="22"/>
              </w:rPr>
              <w:t>7.8% (guided at Q2 call)</w:t>
            </w:r>
          </w:p>
        </w:tc>
        <w:tc>
          <w:tcPr>
            <w:tcW w:type="dxa" w:w="2160"/>
          </w:tcPr>
          <w:p>
            <w:r>
              <w:rPr>
                <w:rFonts w:ascii="Calibri" w:hAnsi="Calibri"/>
                <w:sz w:val="22"/>
              </w:rPr>
              <w:t>~7.9% avg (Q3: 8.2%, Q4 implied: 7.6%)</w:t>
            </w:r>
          </w:p>
        </w:tc>
        <w:tc>
          <w:tcPr>
            <w:tcW w:type="dxa" w:w="2160"/>
          </w:tcPr>
          <w:p>
            <w:r>
              <w:rPr>
                <w:rFonts w:ascii="Calibri" w:hAnsi="Calibri"/>
                <w:sz w:val="22"/>
              </w:rPr>
              <w:t>Essentially in-line</w:t>
            </w:r>
          </w:p>
        </w:tc>
      </w:tr>
      <w:tr>
        <w:tc>
          <w:tcPr>
            <w:tcW w:type="dxa" w:w="2160"/>
          </w:tcPr>
          <w:p>
            <w:r>
              <w:rPr>
                <w:rFonts w:ascii="Calibri" w:hAnsi="Calibri"/>
                <w:sz w:val="22"/>
              </w:rPr>
              <w:t>Net Interest Expense</w:t>
            </w:r>
          </w:p>
        </w:tc>
        <w:tc>
          <w:tcPr>
            <w:tcW w:type="dxa" w:w="2160"/>
          </w:tcPr>
          <w:p>
            <w:r>
              <w:rPr>
                <w:rFonts w:ascii="Calibri" w:hAnsi="Calibri"/>
                <w:sz w:val="22"/>
              </w:rPr>
              <w:t>~$101M</w:t>
            </w:r>
          </w:p>
        </w:tc>
        <w:tc>
          <w:tcPr>
            <w:tcW w:type="dxa" w:w="2160"/>
          </w:tcPr>
          <w:p>
            <w:r>
              <w:rPr>
                <w:rFonts w:ascii="Calibri" w:hAnsi="Calibri"/>
                <w:sz w:val="22"/>
              </w:rPr>
              <w:t>~$101M</w:t>
            </w:r>
          </w:p>
        </w:tc>
        <w:tc>
          <w:tcPr>
            <w:tcW w:type="dxa" w:w="2160"/>
          </w:tcPr>
          <w:p>
            <w:r>
              <w:rPr>
                <w:rFonts w:ascii="Calibri" w:hAnsi="Calibri"/>
                <w:sz w:val="22"/>
              </w:rPr>
              <w:t>Unchanged</w:t>
            </w:r>
          </w:p>
        </w:tc>
      </w:tr>
      <w:tr>
        <w:tc>
          <w:tcPr>
            <w:tcW w:type="dxa" w:w="2160"/>
          </w:tcPr>
          <w:p>
            <w:r>
              <w:rPr>
                <w:rFonts w:ascii="Calibri" w:hAnsi="Calibri"/>
                <w:sz w:val="22"/>
              </w:rPr>
              <w:t>Effective Tax Rate</w:t>
            </w:r>
          </w:p>
        </w:tc>
        <w:tc>
          <w:tcPr>
            <w:tcW w:type="dxa" w:w="2160"/>
          </w:tcPr>
          <w:p>
            <w:r>
              <w:rPr>
                <w:rFonts w:ascii="Calibri" w:hAnsi="Calibri"/>
                <w:sz w:val="22"/>
              </w:rPr>
              <w:t>20%</w:t>
            </w:r>
          </w:p>
        </w:tc>
        <w:tc>
          <w:tcPr>
            <w:tcW w:type="dxa" w:w="2160"/>
          </w:tcPr>
          <w:p>
            <w:r>
              <w:rPr>
                <w:rFonts w:ascii="Calibri" w:hAnsi="Calibri"/>
                <w:sz w:val="22"/>
              </w:rPr>
              <w:t>20%</w:t>
            </w:r>
          </w:p>
        </w:tc>
        <w:tc>
          <w:tcPr>
            <w:tcW w:type="dxa" w:w="2160"/>
          </w:tcPr>
          <w:p>
            <w:r>
              <w:rPr>
                <w:rFonts w:ascii="Calibri" w:hAnsi="Calibri"/>
                <w:sz w:val="22"/>
              </w:rPr>
              <w:t>Unchanged</w:t>
            </w:r>
          </w:p>
        </w:tc>
      </w:tr>
    </w:tbl>
    <w:p>
      <w:r>
        <w:rPr>
          <w:rFonts w:ascii="Calibri" w:hAnsi="Calibri"/>
          <w:i/>
          <w:color w:val="525866"/>
          <w:sz w:val="22"/>
        </w:rPr>
        <w:t>Source: Cintas Q3 FY2026 Earnings Call Transcript (March 25, 2026). Guidance excludes impact of nonrecurring UniFirst transaction expenses and any future share buybacks.</w:t>
      </w:r>
    </w:p>
    <w:p>
      <w:r>
        <w:rPr>
          <w:rFonts w:ascii="Calibri" w:hAnsi="Calibri"/>
          <w:color w:val="525866"/>
          <w:sz w:val="22"/>
        </w:rPr>
        <w:t>Management tone on the Q3 call was consistently confident, with CEO Todd Schneider emphasizing that retention remains at all-time highs, pricing is consistent with historical levels, and all three route-based businesses are growing at attractive rates. The company explicitly addressed the tough Q4 comp, noting that First Aid lapped an 18.5% organic quarter driven by a one-time AED training spike, and that Uniform Direct Sales had a particularly strong Q4 FY2025 that can be lumpy. On tariffs and fuel costs, management characterized the impact as manageable and consistent with their historical ability to navigate cost pressures. The UniFirst acquisition dominated Q&amp;A, with management reiterating confidence in the strategic rationale and noting integration planning is underway; leverage at closing is expected at approximately 1.5x debt/EBITDA with no change to long-term capital allocation priorities. Buybacks were paused during the quiet period around the deal announcement but are expected to resume post-shareholder vote.</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Estimate revisions have been stable-to-modestly-positive since the Q3 print, with the FY2026 EPS consensus of $4.89 sitting essentially at the guidance midpoint of $4.88 — leaving little room for a guidance-driven re-rating but also suggesting the street has appropriately calibrated to management’s raised bar.</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Guidance Midpoint</w:t>
            </w:r>
          </w:p>
        </w:tc>
        <w:tc>
          <w:tcPr>
            <w:tcW w:type="dxa" w:w="1440"/>
            <w:shd w:val="clear" w:color="auto" w:fill="3B4259"/>
          </w:tcPr>
          <w:p>
            <w:r>
              <w:rPr>
                <w:rFonts w:ascii="Calibri" w:hAnsi="Calibri"/>
                <w:b/>
                <w:color w:val="FFFFFF"/>
                <w:sz w:val="22"/>
              </w:rPr>
              <w:t>Current Consensus (Q4 FY2026)</w:t>
            </w:r>
          </w:p>
        </w:tc>
        <w:tc>
          <w:tcPr>
            <w:tcW w:type="dxa" w:w="1440"/>
            <w:shd w:val="clear" w:color="auto" w:fill="3B4259"/>
          </w:tcPr>
          <w:p>
            <w:r>
              <w:rPr>
                <w:rFonts w:ascii="Calibri" w:hAnsi="Calibri"/>
                <w:b/>
                <w:color w:val="FFFFFF"/>
                <w:sz w:val="22"/>
              </w:rPr>
              <w:t>Current Consensus (FY2026)</w:t>
            </w:r>
          </w:p>
        </w:tc>
        <w:tc>
          <w:tcPr>
            <w:tcW w:type="dxa" w:w="1440"/>
            <w:shd w:val="clear" w:color="auto" w:fill="3B4259"/>
          </w:tcPr>
          <w:p>
            <w:r>
              <w:rPr>
                <w:rFonts w:ascii="Calibri" w:hAnsi="Calibri"/>
                <w:b/>
                <w:color w:val="FFFFFF"/>
                <w:sz w:val="22"/>
              </w:rPr>
              <w:t>Current Consensus (FY2027)</w:t>
            </w:r>
          </w:p>
        </w:tc>
        <w:tc>
          <w:tcPr>
            <w:tcW w:type="dxa" w:w="1440"/>
            <w:shd w:val="clear" w:color="auto" w:fill="3B4259"/>
          </w:tcPr>
          <w:p>
            <w:r>
              <w:rPr>
                <w:rFonts w:ascii="Calibri" w:hAnsi="Calibri"/>
                <w:b/>
                <w:color w:val="FFFFFF"/>
                <w:sz w:val="22"/>
              </w:rPr>
              <w:t>Revision Trend (Post Q3)</w:t>
            </w:r>
          </w:p>
        </w:tc>
      </w:tr>
      <w:tr>
        <w:tc>
          <w:tcPr>
            <w:tcW w:type="dxa" w:w="1440"/>
          </w:tcPr>
          <w:p>
            <w:r>
              <w:rPr>
                <w:rFonts w:ascii="Calibri" w:hAnsi="Calibri"/>
                <w:sz w:val="22"/>
              </w:rPr>
              <w:t>Revenue</w:t>
            </w:r>
          </w:p>
        </w:tc>
        <w:tc>
          <w:tcPr>
            <w:tcW w:type="dxa" w:w="1440"/>
          </w:tcPr>
          <w:p>
            <w:r>
              <w:rPr>
                <w:rFonts w:ascii="Calibri" w:hAnsi="Calibri"/>
                <w:sz w:val="22"/>
              </w:rPr>
              <w:t>$11.225B (FY)</w:t>
            </w:r>
          </w:p>
        </w:tc>
        <w:tc>
          <w:tcPr>
            <w:tcW w:type="dxa" w:w="1440"/>
          </w:tcPr>
          <w:p>
            <w:r>
              <w:rPr>
                <w:rFonts w:ascii="Calibri" w:hAnsi="Calibri"/>
                <w:sz w:val="22"/>
              </w:rPr>
              <w:t>$2.873B</w:t>
            </w:r>
          </w:p>
        </w:tc>
        <w:tc>
          <w:tcPr>
            <w:tcW w:type="dxa" w:w="1440"/>
          </w:tcPr>
          <w:p>
            <w:r>
              <w:rPr>
                <w:rFonts w:ascii="Calibri" w:hAnsi="Calibri"/>
                <w:sz w:val="22"/>
              </w:rPr>
              <w:t>$11.233B</w:t>
            </w:r>
          </w:p>
        </w:tc>
        <w:tc>
          <w:tcPr>
            <w:tcW w:type="dxa" w:w="1440"/>
          </w:tcPr>
          <w:p>
            <w:r>
              <w:rPr>
                <w:rFonts w:ascii="Calibri" w:hAnsi="Calibri"/>
                <w:sz w:val="22"/>
              </w:rPr>
              <w:t>$12.069B</w:t>
            </w:r>
          </w:p>
        </w:tc>
        <w:tc>
          <w:tcPr>
            <w:tcW w:type="dxa" w:w="1440"/>
          </w:tcPr>
          <w:p>
            <w:r>
              <w:rPr>
                <w:rFonts w:ascii="Calibri" w:hAnsi="Calibri"/>
                <w:b/>
                <w:color w:val="30A46C"/>
                <w:sz w:val="22"/>
              </w:rPr>
              <w:t>Stable / slight upward drift</w:t>
            </w:r>
          </w:p>
        </w:tc>
      </w:tr>
      <w:tr>
        <w:tc>
          <w:tcPr>
            <w:tcW w:type="dxa" w:w="1440"/>
          </w:tcPr>
          <w:p>
            <w:r>
              <w:rPr>
                <w:rFonts w:ascii="Calibri" w:hAnsi="Calibri"/>
                <w:sz w:val="22"/>
              </w:rPr>
              <w:t>Adj. Diluted EPS</w:t>
            </w:r>
          </w:p>
        </w:tc>
        <w:tc>
          <w:tcPr>
            <w:tcW w:type="dxa" w:w="1440"/>
          </w:tcPr>
          <w:p>
            <w:r>
              <w:rPr>
                <w:rFonts w:ascii="Calibri" w:hAnsi="Calibri"/>
                <w:sz w:val="22"/>
              </w:rPr>
              <w:t>$4.88 (FY mid)</w:t>
            </w:r>
          </w:p>
        </w:tc>
        <w:tc>
          <w:tcPr>
            <w:tcW w:type="dxa" w:w="1440"/>
          </w:tcPr>
          <w:p>
            <w:r>
              <w:rPr>
                <w:rFonts w:ascii="Calibri" w:hAnsi="Calibri"/>
                <w:sz w:val="22"/>
              </w:rPr>
              <w:t>$1.239</w:t>
            </w:r>
          </w:p>
        </w:tc>
        <w:tc>
          <w:tcPr>
            <w:tcW w:type="dxa" w:w="1440"/>
          </w:tcPr>
          <w:p>
            <w:r>
              <w:rPr>
                <w:rFonts w:ascii="Calibri" w:hAnsi="Calibri"/>
                <w:sz w:val="22"/>
              </w:rPr>
              <w:t>$4.894</w:t>
            </w:r>
          </w:p>
        </w:tc>
        <w:tc>
          <w:tcPr>
            <w:tcW w:type="dxa" w:w="1440"/>
          </w:tcPr>
          <w:p>
            <w:r>
              <w:rPr>
                <w:rFonts w:ascii="Calibri" w:hAnsi="Calibri"/>
                <w:sz w:val="22"/>
              </w:rPr>
              <w:t>$5.421</w:t>
            </w:r>
          </w:p>
        </w:tc>
        <w:tc>
          <w:tcPr>
            <w:tcW w:type="dxa" w:w="1440"/>
          </w:tcPr>
          <w:p>
            <w:r>
              <w:rPr>
                <w:rFonts w:ascii="Calibri" w:hAnsi="Calibri"/>
                <w:sz w:val="22"/>
              </w:rPr>
              <w:t>Stable / in-line with guidance</w:t>
            </w:r>
          </w:p>
        </w:tc>
      </w:tr>
      <w:tr>
        <w:tc>
          <w:tcPr>
            <w:tcW w:type="dxa" w:w="1440"/>
          </w:tcPr>
          <w:p>
            <w:r>
              <w:rPr>
                <w:rFonts w:ascii="Calibri" w:hAnsi="Calibri"/>
                <w:sz w:val="22"/>
              </w:rPr>
              <w:t>Organic Growth</w:t>
            </w:r>
          </w:p>
        </w:tc>
        <w:tc>
          <w:tcPr>
            <w:tcW w:type="dxa" w:w="1440"/>
          </w:tcPr>
          <w:p>
            <w:r>
              <w:rPr>
                <w:rFonts w:ascii="Calibri" w:hAnsi="Calibri"/>
                <w:sz w:val="22"/>
              </w:rPr>
              <w:t>~7.6% implied (Q4)</w:t>
            </w:r>
          </w:p>
        </w:tc>
        <w:tc>
          <w:tcPr>
            <w:tcW w:type="dxa" w:w="1440"/>
          </w:tcPr>
          <w:p>
            <w:r>
              <w:rPr>
                <w:rFonts w:ascii="Calibri" w:hAnsi="Calibri"/>
                <w:sz w:val="22"/>
              </w:rPr>
              <w:t>~7.3%</w:t>
            </w:r>
          </w:p>
        </w:tc>
        <w:tc>
          <w:tcPr>
            <w:tcW w:type="dxa" w:w="1440"/>
          </w:tcPr>
          <w:p>
            <w:r>
              <w:rPr>
                <w:rFonts w:ascii="Calibri" w:hAnsi="Calibri"/>
                <w:sz w:val="22"/>
              </w:rPr>
              <w:t>~8.0% (FY)</w:t>
            </w:r>
          </w:p>
        </w:tc>
        <w:tc>
          <w:tcPr>
            <w:tcW w:type="dxa" w:w="1440"/>
          </w:tcPr>
          <w:p>
            <w:r>
              <w:rPr>
                <w:rFonts w:ascii="Calibri" w:hAnsi="Calibri"/>
                <w:sz w:val="22"/>
              </w:rPr>
              <w:t>~7.2% (FY)</w:t>
            </w:r>
          </w:p>
        </w:tc>
        <w:tc>
          <w:tcPr>
            <w:tcW w:type="dxa" w:w="1440"/>
          </w:tcPr>
          <w:p>
            <w:r>
              <w:rPr>
                <w:rFonts w:ascii="Calibri" w:hAnsi="Calibri"/>
                <w:sz w:val="22"/>
              </w:rPr>
              <w:t>Stable</w:t>
            </w:r>
          </w:p>
        </w:tc>
      </w:tr>
      <w:tr>
        <w:tc>
          <w:tcPr>
            <w:tcW w:type="dxa" w:w="1440"/>
          </w:tcPr>
          <w:p>
            <w:r>
              <w:rPr>
                <w:rFonts w:ascii="Calibri" w:hAnsi="Calibri"/>
                <w:sz w:val="22"/>
              </w:rPr>
              <w:t>Gross Margin</w:t>
            </w:r>
          </w:p>
        </w:tc>
        <w:tc>
          <w:tcPr>
            <w:tcW w:type="dxa" w:w="1440"/>
          </w:tcPr>
          <w:p>
            <w:r>
              <w:rPr>
                <w:rFonts w:ascii="Calibri" w:hAnsi="Calibri"/>
                <w:sz w:val="22"/>
              </w:rPr>
              <w:t>N/A (not guided)</w:t>
            </w:r>
          </w:p>
        </w:tc>
        <w:tc>
          <w:tcPr>
            <w:tcW w:type="dxa" w:w="1440"/>
          </w:tcPr>
          <w:p>
            <w:r>
              <w:rPr>
                <w:rFonts w:ascii="Calibri" w:hAnsi="Calibri"/>
                <w:sz w:val="22"/>
              </w:rPr>
              <w:t>50.15%</w:t>
            </w:r>
          </w:p>
        </w:tc>
        <w:tc>
          <w:tcPr>
            <w:tcW w:type="dxa" w:w="1440"/>
          </w:tcPr>
          <w:p>
            <w:r>
              <w:rPr>
                <w:rFonts w:ascii="Calibri" w:hAnsi="Calibri"/>
                <w:sz w:val="22"/>
              </w:rPr>
              <w:t>50.28%</w:t>
            </w:r>
          </w:p>
        </w:tc>
        <w:tc>
          <w:tcPr>
            <w:tcW w:type="dxa" w:w="1440"/>
          </w:tcPr>
          <w:p>
            <w:r>
              <w:rPr>
                <w:rFonts w:ascii="Calibri" w:hAnsi="Calibri"/>
                <w:sz w:val="22"/>
              </w:rPr>
              <w:t>50.57%</w:t>
            </w:r>
          </w:p>
        </w:tc>
        <w:tc>
          <w:tcPr>
            <w:tcW w:type="dxa" w:w="1440"/>
          </w:tcPr>
          <w:p>
            <w:r>
              <w:rPr>
                <w:rFonts w:ascii="Calibri" w:hAnsi="Calibri"/>
                <w:b/>
                <w:color w:val="30A46C"/>
                <w:sz w:val="22"/>
              </w:rPr>
              <w:t>Stable / modest upward drift</w:t>
            </w:r>
          </w:p>
        </w:tc>
      </w:tr>
    </w:tbl>
    <w:p>
      <w:r>
        <w:rPr>
          <w:rFonts w:ascii="Calibri" w:hAnsi="Calibri"/>
          <w:i/>
          <w:color w:val="525866"/>
          <w:sz w:val="22"/>
        </w:rPr>
        <w:t>Source: Visible Alpha Consensus and Actuals Data. FY2026 guidance from Q3 FY2026 earnings call (March 25, 2026).</w:t>
      </w:r>
    </w:p>
    <w:p>
      <w:r>
        <w:rPr>
          <w:rFonts w:ascii="Calibri" w:hAnsi="Calibri"/>
          <w:color w:val="525866"/>
          <w:sz w:val="22"/>
        </w:rPr>
        <w:t>The key observation is that the street has essentially converged to the guidance midpoint on EPS, which is unusual for CTAS — historically, the company has guided conservatively and beaten. The compression in the beat magnitude on EPS (from ~7–10% beats in FY2025 to near in-line in Q3 FY2026) suggests analysts have learned to set the bar closer to management’s actual delivery. This means the stock’s reaction will likely be more sensitive to organic growth and margin trajectory than to the headline EPS number. On the out-year, FY2027 EPS consensus of $5.42 implies ~10.8% growth, which is consistent with the company’s long-term algorithm and does not appear to embed any UniFirst accretion (deal expected to close H2 CY2026, so limited FY2027 contribution).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CTAS has significantly underperformed both the S&amp;P 500 (+14.5%) and sector proxy ARMK (+39.9%) since the Q3 FY2026 earnings print on March 25, 2026, returning only +4.2% — a combination of the FTC Second Request overhang on the UniFirst deal and the stock’s premium multiple leaving little room for error.</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CTAS vs. ARMK vs. S&amp;P 500 (SPY) — Indexed to 100 at Q3 FY2026 Earnings (March 25, 2026). Source: Yahoo Finance / Stock Price Data.</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Metric</w:t>
            </w:r>
          </w:p>
        </w:tc>
        <w:tc>
          <w:tcPr>
            <w:tcW w:type="dxa" w:w="4320"/>
            <w:shd w:val="clear" w:color="auto" w:fill="3B4259"/>
          </w:tcPr>
          <w:p>
            <w:r>
              <w:rPr>
                <w:rFonts w:ascii="Calibri" w:hAnsi="Calibri"/>
                <w:b/>
                <w:color w:val="FFFFFF"/>
                <w:sz w:val="22"/>
              </w:rPr>
              <w:t>Value</w:t>
            </w:r>
          </w:p>
        </w:tc>
      </w:tr>
      <w:tr>
        <w:tc>
          <w:tcPr>
            <w:tcW w:type="dxa" w:w="4320"/>
          </w:tcPr>
          <w:p>
            <w:r>
              <w:rPr>
                <w:rFonts w:ascii="Calibri" w:hAnsi="Calibri"/>
                <w:sz w:val="22"/>
              </w:rPr>
              <w:t>CTAS Price (Mar 25, 2026 — Q3 Earnings Day)</w:t>
            </w:r>
          </w:p>
        </w:tc>
        <w:tc>
          <w:tcPr>
            <w:tcW w:type="dxa" w:w="4320"/>
          </w:tcPr>
          <w:p>
            <w:r>
              <w:rPr>
                <w:rFonts w:ascii="Calibri" w:hAnsi="Calibri"/>
                <w:sz w:val="22"/>
              </w:rPr>
              <w:t>$176.85</w:t>
            </w:r>
          </w:p>
        </w:tc>
      </w:tr>
      <w:tr>
        <w:tc>
          <w:tcPr>
            <w:tcW w:type="dxa" w:w="4320"/>
          </w:tcPr>
          <w:p>
            <w:r>
              <w:rPr>
                <w:rFonts w:ascii="Calibri" w:hAnsi="Calibri"/>
                <w:sz w:val="22"/>
              </w:rPr>
              <w:t>CTAS Price (July 14, 2026 — Today)</w:t>
            </w:r>
          </w:p>
        </w:tc>
        <w:tc>
          <w:tcPr>
            <w:tcW w:type="dxa" w:w="4320"/>
          </w:tcPr>
          <w:p>
            <w:r>
              <w:rPr>
                <w:rFonts w:ascii="Calibri" w:hAnsi="Calibri"/>
                <w:sz w:val="22"/>
              </w:rPr>
              <w:t>$184.33</w:t>
            </w:r>
          </w:p>
        </w:tc>
      </w:tr>
      <w:tr>
        <w:tc>
          <w:tcPr>
            <w:tcW w:type="dxa" w:w="4320"/>
          </w:tcPr>
          <w:p>
            <w:r>
              <w:rPr>
                <w:rFonts w:ascii="Calibri" w:hAnsi="Calibri"/>
                <w:sz w:val="22"/>
              </w:rPr>
              <w:t>CTAS Return Since Q3 Earnings</w:t>
            </w:r>
          </w:p>
        </w:tc>
        <w:tc>
          <w:tcPr>
            <w:tcW w:type="dxa" w:w="4320"/>
          </w:tcPr>
          <w:p>
            <w:r>
              <w:rPr>
                <w:rFonts w:ascii="Calibri" w:hAnsi="Calibri"/>
                <w:sz w:val="22"/>
              </w:rPr>
              <w:t>+4.2%</w:t>
            </w:r>
          </w:p>
        </w:tc>
      </w:tr>
      <w:tr>
        <w:tc>
          <w:tcPr>
            <w:tcW w:type="dxa" w:w="4320"/>
          </w:tcPr>
          <w:p>
            <w:r>
              <w:rPr>
                <w:rFonts w:ascii="Calibri" w:hAnsi="Calibri"/>
                <w:sz w:val="22"/>
              </w:rPr>
              <w:t>SPY Return Since Q3 Earnings</w:t>
            </w:r>
          </w:p>
        </w:tc>
        <w:tc>
          <w:tcPr>
            <w:tcW w:type="dxa" w:w="4320"/>
          </w:tcPr>
          <w:p>
            <w:r>
              <w:rPr>
                <w:rFonts w:ascii="Calibri" w:hAnsi="Calibri"/>
                <w:sz w:val="22"/>
              </w:rPr>
              <w:t>+14.5%</w:t>
            </w:r>
          </w:p>
        </w:tc>
      </w:tr>
      <w:tr>
        <w:tc>
          <w:tcPr>
            <w:tcW w:type="dxa" w:w="4320"/>
          </w:tcPr>
          <w:p>
            <w:r>
              <w:rPr>
                <w:rFonts w:ascii="Calibri" w:hAnsi="Calibri"/>
                <w:sz w:val="22"/>
              </w:rPr>
              <w:t>ARMK Return Since Q3 Earnings</w:t>
            </w:r>
          </w:p>
        </w:tc>
        <w:tc>
          <w:tcPr>
            <w:tcW w:type="dxa" w:w="4320"/>
          </w:tcPr>
          <w:p>
            <w:r>
              <w:rPr>
                <w:rFonts w:ascii="Calibri" w:hAnsi="Calibri"/>
                <w:sz w:val="22"/>
              </w:rPr>
              <w:t>+39.9%</w:t>
            </w:r>
          </w:p>
        </w:tc>
      </w:tr>
      <w:tr>
        <w:tc>
          <w:tcPr>
            <w:tcW w:type="dxa" w:w="4320"/>
          </w:tcPr>
          <w:p>
            <w:r>
              <w:rPr>
                <w:rFonts w:ascii="Calibri" w:hAnsi="Calibri"/>
                <w:sz w:val="22"/>
              </w:rPr>
              <w:t>CTAS Trailing P/E (approx.)</w:t>
            </w:r>
          </w:p>
        </w:tc>
        <w:tc>
          <w:tcPr>
            <w:tcW w:type="dxa" w:w="4320"/>
          </w:tcPr>
          <w:p>
            <w:r>
              <w:rPr>
                <w:rFonts w:ascii="Calibri" w:hAnsi="Calibri"/>
                <w:sz w:val="22"/>
              </w:rPr>
              <w:t>~50x</w:t>
            </w:r>
          </w:p>
        </w:tc>
      </w:tr>
      <w:tr>
        <w:tc>
          <w:tcPr>
            <w:tcW w:type="dxa" w:w="4320"/>
          </w:tcPr>
          <w:p>
            <w:r>
              <w:rPr>
                <w:rFonts w:ascii="Calibri" w:hAnsi="Calibri"/>
                <w:sz w:val="22"/>
              </w:rPr>
              <w:t>Analyst Consensus Rating</w:t>
            </w:r>
          </w:p>
        </w:tc>
        <w:tc>
          <w:tcPr>
            <w:tcW w:type="dxa" w:w="4320"/>
          </w:tcPr>
          <w:p>
            <w:r>
              <w:rPr>
                <w:rFonts w:ascii="Calibri" w:hAnsi="Calibri"/>
                <w:sz w:val="22"/>
              </w:rPr>
              <w:t>Hold (6 Buy / 7 Hold / 1 Sell of 14 analysts)</w:t>
            </w:r>
          </w:p>
        </w:tc>
      </w:tr>
      <w:tr>
        <w:tc>
          <w:tcPr>
            <w:tcW w:type="dxa" w:w="4320"/>
          </w:tcPr>
          <w:p>
            <w:r>
              <w:rPr>
                <w:rFonts w:ascii="Calibri" w:hAnsi="Calibri"/>
                <w:sz w:val="22"/>
              </w:rPr>
              <w:t>Average 12-Month Price Target</w:t>
            </w:r>
          </w:p>
        </w:tc>
        <w:tc>
          <w:tcPr>
            <w:tcW w:type="dxa" w:w="4320"/>
          </w:tcPr>
          <w:p>
            <w:r>
              <w:rPr>
                <w:rFonts w:ascii="Calibri" w:hAnsi="Calibri"/>
                <w:sz w:val="22"/>
              </w:rPr>
              <w:t>$211.25 (+14.6% upside from $184.33)</w:t>
            </w:r>
          </w:p>
        </w:tc>
      </w:tr>
      <w:tr>
        <w:tc>
          <w:tcPr>
            <w:tcW w:type="dxa" w:w="4320"/>
          </w:tcPr>
          <w:p>
            <w:r>
              <w:rPr>
                <w:rFonts w:ascii="Calibri" w:hAnsi="Calibri"/>
                <w:sz w:val="22"/>
              </w:rPr>
              <w:t>Price Target Range</w:t>
            </w:r>
          </w:p>
        </w:tc>
        <w:tc>
          <w:tcPr>
            <w:tcW w:type="dxa" w:w="4320"/>
          </w:tcPr>
          <w:p>
            <w:r>
              <w:rPr>
                <w:rFonts w:ascii="Calibri" w:hAnsi="Calibri"/>
                <w:sz w:val="22"/>
              </w:rPr>
              <w:t>$160 (Citi, Sell) — $250 (Baird, Outperform)</w:t>
            </w:r>
          </w:p>
        </w:tc>
      </w:tr>
    </w:tbl>
    <w:p>
      <w:r>
        <w:rPr>
          <w:rFonts w:ascii="Calibri" w:hAnsi="Calibri"/>
          <w:i/>
          <w:color w:val="525866"/>
          <w:sz w:val="22"/>
        </w:rPr>
        <w:t>Source: Stock Price Data (Yahoo Finance); Analyst ratings and price targets from MarketBeat as of July 14, 2026.</w:t>
      </w:r>
    </w:p>
    <w:p>
      <w:r>
        <w:rPr>
          <w:rFonts w:ascii="Calibri" w:hAnsi="Calibri"/>
          <w:color w:val="525866"/>
          <w:sz w:val="22"/>
        </w:rPr>
        <w:t>CTAS has lagged the market materially since the Q3 print, with the stock essentially flat-to-slightly-up while the S&amp;P 500 rallied ~14.5%. The underperformance is attributable to two factors: (1) the FTC Second Request on the UniFirst deal (issued June 11, 2026), which introduced regulatory uncertainty and caused a ~3% sell-off on the day; and (2) the stock’s premium valuation (~50x trailing earnings) which leaves it vulnerable to any macro or execution disappointment. Notably, ARMK has dramatically outperformed (+39.9%) over the same period, driven by its own strong Q2 FY2026 results and a re-rating of the broader business services sector. The stock is up ~2.3% today ahead of the print, suggesting the market is positioning for a beat. Key analyst actions since Q3: Truist lowered target from $255 to $225 (still Buy, June 15); BofA lowered target from $215 to $200 (Neutral, June 29); Citi maintained Sell with $160 target (March 31). The consensus Hold rating and wide target range ($160–$250) reflect genuine disagreement about whether the premium multiple is justified.</w:t>
      </w:r>
    </w:p>
    <w:p>
      <w:r>
        <w:br w:type="page"/>
      </w:r>
    </w:p>
    <w:p>
      <w:pPr>
        <w:pStyle w:val="Heading2"/>
      </w:pPr>
      <w:r>
        <w:rPr>
          <w:rFonts w:ascii="Calibri" w:hAnsi="Calibri"/>
          <w:b/>
          <w:color w:val="3B4259"/>
          <w:sz w:val="28"/>
        </w:rPr>
        <w:t>6. Peer Commentaries — Read-Through (Last 60 Days, Current Quarter Relevant)</w:t>
      </w:r>
    </w:p>
    <w:p>
      <w:r>
        <w:rPr>
          <w:rFonts w:ascii="Calibri" w:hAnsi="Calibri"/>
          <w:b/>
          <w:color w:val="525866"/>
          <w:sz w:val="22"/>
        </w:rPr>
        <w:t xml:space="preserve">Key Takeaway: </w:t>
      </w:r>
      <w:r>
        <w:rPr>
          <w:rFonts w:ascii="Calibri" w:hAnsi="Calibri"/>
          <w:b/>
          <w:color w:val="525866"/>
          <w:sz w:val="22"/>
        </w:rPr>
        <w:t>Peer commentary from the last 60 days is broadly constructive for CTAS — Aramark (ARMK) reported strong organic growth, record client retention, and manageable inflation in its Q2 FY2026 (reported May 12), while ABM Industries (ABM) provided positive read-through on labor market stability and facility services demand in its Q2 FY2026 (reported June 5). Both prints are relevant to CTAS’s Q4 FY2026 (ended May 31, 2026).</w:t>
      </w:r>
    </w:p>
    <w:p>
      <w:pPr>
        <w:pStyle w:val="Heading3"/>
      </w:pPr>
      <w:r>
        <w:rPr>
          <w:rFonts w:ascii="Calibri" w:hAnsi="Calibri"/>
          <w:b/>
          <w:color w:val="3B4259"/>
          <w:sz w:val="24"/>
        </w:rPr>
        <w:t>Aramark (ARMK) — Q2 FY2026 Earnings Call (May 12, 2026)</w:t>
      </w:r>
    </w:p>
    <w:p>
      <w:r>
        <w:rPr>
          <w:rFonts w:ascii="Calibri" w:hAnsi="Calibri"/>
          <w:b/>
          <w:color w:val="525866"/>
          <w:sz w:val="22"/>
        </w:rPr>
        <w:t xml:space="preserve">Relevance: </w:t>
      </w:r>
      <w:r>
        <w:rPr>
          <w:rFonts w:ascii="Calibri" w:hAnsi="Calibri"/>
          <w:color w:val="525866"/>
          <w:sz w:val="22"/>
        </w:rPr>
        <w:t>ARMK is the closest large-cap peer to CTAS in the uniform/facility services and food services space. Its Q2 FY2026 (quarter ended March 2026) overlaps with CTAS’s Q3 FY2026, but the commentary about business trends, labor, pricing, and retention is directly relevant to CTAS’s Q4 FY2026 environment.</w:t>
      </w:r>
    </w:p>
    <w:p>
      <w:pPr>
        <w:pStyle w:val="ListBullet"/>
        <w:ind w:left="360" w:hanging="360"/>
      </w:pPr>
      <w:r>
        <w:rPr>
          <w:rFonts w:ascii="Calibri" w:hAnsi="Calibri"/>
          <w:b/>
          <w:color w:val="525866"/>
          <w:sz w:val="22"/>
        </w:rPr>
        <w:t xml:space="preserve">Client Retention at Record Levels: </w:t>
      </w:r>
      <w:r>
        <w:rPr>
          <w:rFonts w:ascii="Calibri" w:hAnsi="Calibri"/>
          <w:color w:val="525866"/>
          <w:sz w:val="22"/>
        </w:rPr>
        <w:t>ARMK reported client retention exceeding 98% across the company — consistent with CTAS’s own all-time high retention narrative and suggesting the broader business services sector is not seeing elevated churn.</w:t>
      </w:r>
    </w:p>
    <w:p>
      <w:pPr>
        <w:pStyle w:val="ListBullet"/>
        <w:ind w:left="360" w:hanging="360"/>
      </w:pPr>
      <w:r>
        <w:rPr>
          <w:rFonts w:ascii="Calibri" w:hAnsi="Calibri"/>
          <w:b/>
          <w:color w:val="525866"/>
          <w:sz w:val="22"/>
        </w:rPr>
        <w:t xml:space="preserve">Organic Revenue Growth of ~8% (ex-calendar shift): </w:t>
      </w:r>
      <w:r>
        <w:rPr>
          <w:rFonts w:ascii="Calibri" w:hAnsi="Calibri"/>
          <w:color w:val="525866"/>
          <w:sz w:val="22"/>
        </w:rPr>
        <w:t>ARMK delivered 12% organic revenue growth in Q2 FY2026, but ~3% was a calendar shift benefit. Underlying organic growth of ~8% is directly in line with CTAS’s mid-to-high single digit organic growth target and suggests the demand environment remains healthy.</w:t>
      </w:r>
    </w:p>
    <w:p>
      <w:pPr>
        <w:pStyle w:val="ListBullet"/>
        <w:ind w:left="360" w:hanging="360"/>
      </w:pPr>
      <w:r>
        <w:rPr>
          <w:rFonts w:ascii="Calibri" w:hAnsi="Calibri"/>
          <w:b/>
          <w:color w:val="525866"/>
          <w:sz w:val="22"/>
        </w:rPr>
        <w:t xml:space="preserve">New Business Wins at Record Pace: </w:t>
      </w:r>
      <w:r>
        <w:rPr>
          <w:rFonts w:ascii="Calibri" w:hAnsi="Calibri"/>
          <w:color w:val="525866"/>
          <w:sz w:val="22"/>
        </w:rPr>
        <w:t>ARMK reported $1B in new client wins fiscal year-to-date (vs. $1.6B full year last year), with management expecting another record net new performance year. This is a positive read-through for CTAS’s new business acquisition and “no-programmer” conversion narrative.</w:t>
      </w:r>
    </w:p>
    <w:p>
      <w:pPr>
        <w:pStyle w:val="ListBullet"/>
        <w:ind w:left="360" w:hanging="360"/>
      </w:pPr>
      <w:r>
        <w:rPr>
          <w:rFonts w:ascii="Calibri" w:hAnsi="Calibri"/>
          <w:b/>
          <w:color w:val="525866"/>
          <w:sz w:val="22"/>
        </w:rPr>
        <w:t xml:space="preserve">Inflation Tracking at ~3.5%, Manageable: </w:t>
      </w:r>
      <w:r>
        <w:rPr>
          <w:rFonts w:ascii="Calibri" w:hAnsi="Calibri"/>
          <w:color w:val="525866"/>
          <w:sz w:val="22"/>
        </w:rPr>
        <w:t>ARMK noted total inflation of ~3.5%, in line with expectations, with pricing discussions in the 3.5–4% range. This is a positive read-through for CTAS, which has characterized tariff and fuel cost pressures as manageable and has not changed its long-term pricing approach.</w:t>
      </w:r>
    </w:p>
    <w:p>
      <w:pPr>
        <w:pStyle w:val="ListBullet"/>
        <w:ind w:left="360" w:hanging="360"/>
      </w:pPr>
      <w:r>
        <w:rPr>
          <w:rFonts w:ascii="Calibri" w:hAnsi="Calibri"/>
          <w:b/>
          <w:color w:val="525866"/>
          <w:sz w:val="22"/>
        </w:rPr>
        <w:t xml:space="preserve">Labor Productivity Improving: </w:t>
      </w:r>
      <w:r>
        <w:rPr>
          <w:rFonts w:ascii="Calibri" w:hAnsi="Calibri"/>
          <w:color w:val="525866"/>
          <w:sz w:val="22"/>
        </w:rPr>
        <w:t>ARMK highlighted favorable trends in labor and labor productivity as its LaborIQ tool rolls out. For CTAS, which is a route-based business with significant labor content, stable labor markets and improving productivity are a tailwind to margins.</w:t>
      </w:r>
    </w:p>
    <w:p>
      <w:pPr>
        <w:pStyle w:val="ListBullet"/>
        <w:ind w:left="360" w:hanging="360"/>
      </w:pPr>
      <w:r>
        <w:rPr>
          <w:rFonts w:ascii="Calibri" w:hAnsi="Calibri"/>
          <w:b/>
          <w:color w:val="525866"/>
          <w:sz w:val="22"/>
        </w:rPr>
        <w:t xml:space="preserve">Pricing Power Intact: </w:t>
      </w:r>
      <w:r>
        <w:rPr>
          <w:rFonts w:ascii="Calibri" w:hAnsi="Calibri"/>
          <w:color w:val="525866"/>
          <w:sz w:val="22"/>
        </w:rPr>
        <w:t>ARMK’s base business contributed ~4% to organic growth (3% pricing + 1% volume), suggesting pricing power remains intact in the business services sector — a positive read-through for CTAS’s ability to sustain its pricing strategy.</w:t>
      </w:r>
    </w:p>
    <w:p>
      <w:pPr>
        <w:pStyle w:val="Heading3"/>
      </w:pPr>
      <w:r>
        <w:rPr>
          <w:rFonts w:ascii="Calibri" w:hAnsi="Calibri"/>
          <w:b/>
          <w:color w:val="3B4259"/>
          <w:sz w:val="24"/>
        </w:rPr>
        <w:t>ABM Industries (ABM) — Q2 FY2026 Earnings Call (June 5, 2026)</w:t>
      </w:r>
    </w:p>
    <w:p>
      <w:r>
        <w:rPr>
          <w:rFonts w:ascii="Calibri" w:hAnsi="Calibri"/>
          <w:b/>
          <w:color w:val="525866"/>
          <w:sz w:val="22"/>
        </w:rPr>
        <w:t xml:space="preserve">Relevance: </w:t>
      </w:r>
      <w:r>
        <w:rPr>
          <w:rFonts w:ascii="Calibri" w:hAnsi="Calibri"/>
          <w:color w:val="525866"/>
          <w:sz w:val="22"/>
        </w:rPr>
        <w:t>ABM provides facility services (janitorial, engineering, parking, aviation) to commercial and industrial clients — overlapping with CTAS’s facility services segment. ABM’s Q2 FY2026 (quarter ended April 30, 2026) is the most recent peer print and covers a period that overlaps with the tail end of CTAS’s Q4 FY2026 (ended May 31, 2026).</w:t>
      </w:r>
    </w:p>
    <w:p>
      <w:pPr>
        <w:pStyle w:val="ListBullet"/>
        <w:ind w:left="360" w:hanging="360"/>
      </w:pPr>
      <w:r>
        <w:rPr>
          <w:rFonts w:ascii="Calibri" w:hAnsi="Calibri"/>
          <w:b/>
          <w:color w:val="525866"/>
          <w:sz w:val="22"/>
        </w:rPr>
        <w:t xml:space="preserve">Facility Services Demand Remains Solid: </w:t>
      </w:r>
      <w:r>
        <w:rPr>
          <w:rFonts w:ascii="Calibri" w:hAnsi="Calibri"/>
          <w:color w:val="525866"/>
          <w:sz w:val="22"/>
        </w:rPr>
        <w:t>ABM reported stable demand across its facility services segments, with no signs of client budget cuts or service reductions. This is a positive read-through for CTAS’s Uniform Rental &amp; Facility Services segment, which is the largest revenue contributor.</w:t>
      </w:r>
    </w:p>
    <w:p>
      <w:pPr>
        <w:pStyle w:val="ListBullet"/>
        <w:ind w:left="360" w:hanging="360"/>
      </w:pPr>
      <w:r>
        <w:rPr>
          <w:rFonts w:ascii="Calibri" w:hAnsi="Calibri"/>
          <w:b/>
          <w:color w:val="525866"/>
          <w:sz w:val="22"/>
        </w:rPr>
        <w:t xml:space="preserve">Labor Market Stability: </w:t>
      </w:r>
      <w:r>
        <w:rPr>
          <w:rFonts w:ascii="Calibri" w:hAnsi="Calibri"/>
          <w:color w:val="525866"/>
          <w:sz w:val="22"/>
        </w:rPr>
        <w:t>ABM noted stable labor market conditions with no unusual wage inflation or staffing shortages. This is relevant for CTAS, which relies on a large route-based workforce, and suggests labor cost pressures are not accelerating.</w:t>
      </w:r>
    </w:p>
    <w:p>
      <w:pPr>
        <w:pStyle w:val="ListBullet"/>
        <w:ind w:left="360" w:hanging="360"/>
      </w:pPr>
      <w:r>
        <w:rPr>
          <w:rFonts w:ascii="Calibri" w:hAnsi="Calibri"/>
          <w:b/>
          <w:color w:val="525866"/>
          <w:sz w:val="22"/>
        </w:rPr>
        <w:t xml:space="preserve">Cross-Selling and Bundled Services: </w:t>
      </w:r>
      <w:r>
        <w:rPr>
          <w:rFonts w:ascii="Calibri" w:hAnsi="Calibri"/>
          <w:color w:val="525866"/>
          <w:sz w:val="22"/>
        </w:rPr>
        <w:t>ABM highlighted success in cross-selling additional services to existing clients, consistent with CTAS’s own cross-selling narrative. The read-through is that clients in the business services space are receptive to bundled offerings, supporting CTAS’s strategy of selling First Aid, Fire Protection, and Facility Services alongside uniforms.</w:t>
      </w:r>
    </w:p>
    <w:p>
      <w:pPr>
        <w:pStyle w:val="Heading3"/>
      </w:pPr>
      <w:r>
        <w:rPr>
          <w:rFonts w:ascii="Calibri" w:hAnsi="Calibri"/>
          <w:b/>
          <w:color w:val="3B4259"/>
          <w:sz w:val="24"/>
        </w:rPr>
        <w:t>Kelly Services (KELYA) — Q1 FY2026 Earnings Call (May 7, 2026)</w:t>
      </w:r>
    </w:p>
    <w:p>
      <w:r>
        <w:rPr>
          <w:rFonts w:ascii="Calibri" w:hAnsi="Calibri"/>
          <w:b/>
          <w:color w:val="525866"/>
          <w:sz w:val="22"/>
        </w:rPr>
        <w:t xml:space="preserve">Relevance: </w:t>
      </w:r>
      <w:r>
        <w:rPr>
          <w:rFonts w:ascii="Calibri" w:hAnsi="Calibri"/>
          <w:color w:val="525866"/>
          <w:sz w:val="22"/>
        </w:rPr>
        <w:t>Kelly Services is a staffing company with exposure to the same labor market dynamics that drive CTAS’s new business formation (employment growth = more workers needing uniforms). KELYA’s Q1 FY2026 (quarter ended March 2026) provides a read on the labor market environment during CTAS’s Q4 FY2026.</w:t>
      </w:r>
    </w:p>
    <w:p>
      <w:pPr>
        <w:pStyle w:val="ListBullet"/>
        <w:ind w:left="360" w:hanging="360"/>
      </w:pPr>
      <w:r>
        <w:rPr>
          <w:rFonts w:ascii="Calibri" w:hAnsi="Calibri"/>
          <w:b/>
          <w:color w:val="525866"/>
          <w:sz w:val="22"/>
        </w:rPr>
        <w:t xml:space="preserve">Employment Demand Stable but Not Accelerating: </w:t>
      </w:r>
      <w:r>
        <w:rPr>
          <w:rFonts w:ascii="Calibri" w:hAnsi="Calibri"/>
          <w:color w:val="525866"/>
          <w:sz w:val="22"/>
        </w:rPr>
        <w:t>KELYA noted stable demand for staffing services, with no significant deterioration in hiring activity. For CTAS, employment growth is a key driver of new uniform wearers and no-programmer conversions — a stable labor market is a neutral-to-positive read-through.</w:t>
      </w:r>
    </w:p>
    <w:p>
      <w:pPr>
        <w:pStyle w:val="ListBullet"/>
        <w:ind w:left="360" w:hanging="360"/>
      </w:pPr>
      <w:r>
        <w:rPr>
          <w:rFonts w:ascii="Calibri" w:hAnsi="Calibri"/>
          <w:b/>
          <w:color w:val="525866"/>
          <w:sz w:val="22"/>
        </w:rPr>
        <w:t xml:space="preserve">No Signs of Macro Deterioration: </w:t>
      </w:r>
      <w:r>
        <w:rPr>
          <w:rFonts w:ascii="Calibri" w:hAnsi="Calibri"/>
          <w:color w:val="525866"/>
          <w:sz w:val="22"/>
        </w:rPr>
        <w:t>KELYA did not flag any unusual client cancellations or budget freezes, suggesting the broader employment environment remained supportive through the quarter. This is consistent with CTAS management’s confident tone on the Q3 call.</w:t>
      </w:r>
    </w:p>
    <w:p>
      <w:r>
        <w:rPr>
          <w:rFonts w:ascii="Calibri" w:hAnsi="Calibri"/>
          <w:b/>
          <w:color w:val="525866"/>
          <w:sz w:val="22"/>
        </w:rPr>
        <w:t xml:space="preserve">Overall Read-Through Assessment: </w:t>
      </w:r>
      <w:r>
        <w:rPr>
          <w:rFonts w:ascii="Calibri" w:hAnsi="Calibri"/>
          <w:color w:val="525866"/>
          <w:sz w:val="22"/>
        </w:rPr>
        <w:t>Peer commentary from the last 60 days is broadly constructive for CTAS’s Q4 FY2026 print. The combination of record client retention at ARMK, stable labor markets from KELYA, and solid facility services demand from ABM all point to a healthy operating environment for CTAS’s core businesses. The most important read-through is ARMK’s ~8% underlying organic growth (ex-calendar shift), which suggests the demand environment is consistent with CTAS’s implied Q4 organic growth target of ~7.6%. The inflation and pricing commentary from ARMK (~3.5% inflation, pricing in the 3.5–4% range) is also consistent with CTAS’s characterization of cost pressures as manageable.</w:t>
      </w:r>
    </w:p>
    <w:p>
      <w:r>
        <w:rPr>
          <w:rFonts w:ascii="Calibri" w:hAnsi="Calibri"/>
          <w:i/>
          <w:color w:val="525866"/>
          <w:sz w:val="22"/>
        </w:rPr>
        <w:t>Source: ARMK Q2 FY2026 Earnings Call Transcript (May 12, 2026); ABM Q2 FY2026 Earnings Call Transcript (June 5, 2026); KELYA Q1 FY2026 Earnings Call Transcript (May 7,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b/>
          <w:color w:val="525866"/>
          <w:sz w:val="22"/>
        </w:rPr>
        <w:t>The FTC Second Request on the UniFirst acquisition (June 11, 2026) is the dominant news item since the Q3 print — it extends the regulatory timeline and introduces deal risk, but UniFirst shareholders have already approved the deal and Cintas continues to expect closing in H2 CY2026.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Date</w:t>
            </w:r>
          </w:p>
        </w:tc>
        <w:tc>
          <w:tcPr>
            <w:tcW w:type="dxa" w:w="2880"/>
            <w:shd w:val="clear" w:color="auto" w:fill="3B4259"/>
          </w:tcPr>
          <w:p>
            <w:r>
              <w:rPr>
                <w:rFonts w:ascii="Calibri" w:hAnsi="Calibri"/>
                <w:b/>
                <w:color w:val="FFFFFF"/>
                <w:sz w:val="22"/>
              </w:rPr>
              <w:t>Event</w:t>
            </w:r>
          </w:p>
        </w:tc>
        <w:tc>
          <w:tcPr>
            <w:tcW w:type="dxa" w:w="2880"/>
            <w:shd w:val="clear" w:color="auto" w:fill="3B4259"/>
          </w:tcPr>
          <w:p>
            <w:r>
              <w:rPr>
                <w:rFonts w:ascii="Calibri" w:hAnsi="Calibri"/>
                <w:b/>
                <w:color w:val="FFFFFF"/>
                <w:sz w:val="22"/>
              </w:rPr>
              <w:t>Significance</w:t>
            </w:r>
          </w:p>
        </w:tc>
      </w:tr>
      <w:tr>
        <w:tc>
          <w:tcPr>
            <w:tcW w:type="dxa" w:w="2880"/>
          </w:tcPr>
          <w:p>
            <w:r>
              <w:rPr>
                <w:rFonts w:ascii="Calibri" w:hAnsi="Calibri"/>
                <w:sz w:val="22"/>
              </w:rPr>
              <w:t>March 11, 2026</w:t>
            </w:r>
          </w:p>
        </w:tc>
        <w:tc>
          <w:tcPr>
            <w:tcW w:type="dxa" w:w="2880"/>
          </w:tcPr>
          <w:p>
            <w:r>
              <w:rPr>
                <w:rFonts w:ascii="Calibri" w:hAnsi="Calibri"/>
                <w:sz w:val="22"/>
              </w:rPr>
              <w:t>Cintas announces $5.5B acquisition of UniFirst in a mixed cash-and-stock deal</w:t>
            </w:r>
          </w:p>
        </w:tc>
        <w:tc>
          <w:tcPr>
            <w:tcW w:type="dxa" w:w="2880"/>
          </w:tcPr>
          <w:p>
            <w:r>
              <w:rPr>
                <w:rFonts w:ascii="Calibri" w:hAnsi="Calibri"/>
                <w:sz w:val="22"/>
              </w:rPr>
              <w:t>Transformative deal — largest in CTAS history; expands uniform rental scale significantly; leverage expected at ~1.5x debt/EBITDA at close</w:t>
            </w:r>
          </w:p>
        </w:tc>
      </w:tr>
      <w:tr>
        <w:tc>
          <w:tcPr>
            <w:tcW w:type="dxa" w:w="2880"/>
          </w:tcPr>
          <w:p>
            <w:r>
              <w:rPr>
                <w:rFonts w:ascii="Calibri" w:hAnsi="Calibri"/>
                <w:sz w:val="22"/>
              </w:rPr>
              <w:t>March 25, 2026</w:t>
            </w:r>
          </w:p>
        </w:tc>
        <w:tc>
          <w:tcPr>
            <w:tcW w:type="dxa" w:w="2880"/>
          </w:tcPr>
          <w:p>
            <w:r>
              <w:rPr>
                <w:rFonts w:ascii="Calibri" w:hAnsi="Calibri"/>
                <w:sz w:val="22"/>
              </w:rPr>
              <w:t>Q3 FY2026 earnings: Revenue beat, EPS in-line; FY2026 guidance raised for third consecutive quarter; all-time high gross margins across all three route-based segments</w:t>
            </w:r>
          </w:p>
        </w:tc>
        <w:tc>
          <w:tcPr>
            <w:tcW w:type="dxa" w:w="2880"/>
          </w:tcPr>
          <w:p>
            <w:r>
              <w:rPr>
                <w:rFonts w:ascii="Calibri" w:hAnsi="Calibri"/>
                <w:sz w:val="22"/>
              </w:rPr>
              <w:t>Operationally strong print; stock essentially flat on the day as UniFirst deal dominated Q&amp;A</w:t>
            </w:r>
          </w:p>
        </w:tc>
      </w:tr>
      <w:tr>
        <w:tc>
          <w:tcPr>
            <w:tcW w:type="dxa" w:w="2880"/>
          </w:tcPr>
          <w:p>
            <w:r>
              <w:rPr>
                <w:rFonts w:ascii="Calibri" w:hAnsi="Calibri"/>
                <w:sz w:val="22"/>
              </w:rPr>
              <w:t>March 31, 2026</w:t>
            </w:r>
          </w:p>
        </w:tc>
        <w:tc>
          <w:tcPr>
            <w:tcW w:type="dxa" w:w="2880"/>
          </w:tcPr>
          <w:p>
            <w:r>
              <w:rPr>
                <w:rFonts w:ascii="Calibri" w:hAnsi="Calibri"/>
                <w:sz w:val="22"/>
              </w:rPr>
              <w:t>Cintas subsidiary secures new $2 billion revolving credit facility</w:t>
            </w:r>
          </w:p>
        </w:tc>
        <w:tc>
          <w:tcPr>
            <w:tcW w:type="dxa" w:w="2880"/>
          </w:tcPr>
          <w:p>
            <w:r>
              <w:rPr>
                <w:rFonts w:ascii="Calibri" w:hAnsi="Calibri"/>
                <w:sz w:val="22"/>
              </w:rPr>
              <w:t>Strengthens liquidity ahead of UniFirst close; demonstrates lender confidence in the combined entity</w:t>
            </w:r>
          </w:p>
        </w:tc>
      </w:tr>
      <w:tr>
        <w:tc>
          <w:tcPr>
            <w:tcW w:type="dxa" w:w="2880"/>
          </w:tcPr>
          <w:p>
            <w:r>
              <w:rPr>
                <w:rFonts w:ascii="Calibri" w:hAnsi="Calibri"/>
                <w:b/>
                <w:sz w:val="22"/>
              </w:rPr>
              <w:t>June 11, 2026</w:t>
            </w:r>
          </w:p>
        </w:tc>
        <w:tc>
          <w:tcPr>
            <w:tcW w:type="dxa" w:w="2880"/>
          </w:tcPr>
          <w:p>
            <w:r>
              <w:rPr>
                <w:rFonts w:ascii="Calibri" w:hAnsi="Calibri"/>
                <w:b/>
                <w:sz w:val="22"/>
              </w:rPr>
              <w:t>FTC issues Second Request to both Cintas and UniFirst in connection with merger review</w:t>
            </w:r>
          </w:p>
        </w:tc>
        <w:tc>
          <w:tcPr>
            <w:tcW w:type="dxa" w:w="2880"/>
          </w:tcPr>
          <w:p>
            <w:r>
              <w:rPr>
                <w:rFonts w:ascii="Calibri" w:hAnsi="Calibri"/>
                <w:b/>
                <w:color w:val="E5484D"/>
                <w:sz w:val="22"/>
              </w:rPr>
              <w:t>Extends HSR waiting period; introduces regulatory risk and timeline uncertainty; stock sold off ~3% on the news</w:t>
            </w:r>
          </w:p>
        </w:tc>
      </w:tr>
      <w:tr>
        <w:tc>
          <w:tcPr>
            <w:tcW w:type="dxa" w:w="2880"/>
          </w:tcPr>
          <w:p>
            <w:r>
              <w:rPr>
                <w:rFonts w:ascii="Calibri" w:hAnsi="Calibri"/>
                <w:sz w:val="22"/>
              </w:rPr>
              <w:t>June 12, 2026</w:t>
            </w:r>
          </w:p>
        </w:tc>
        <w:tc>
          <w:tcPr>
            <w:tcW w:type="dxa" w:w="2880"/>
          </w:tcPr>
          <w:p>
            <w:r>
              <w:rPr>
                <w:rFonts w:ascii="Calibri" w:hAnsi="Calibri"/>
                <w:sz w:val="22"/>
              </w:rPr>
              <w:t>UniFirst shareholders vote to approve the pending acquisition by Cintas at Special Meeting</w:t>
            </w:r>
          </w:p>
        </w:tc>
        <w:tc>
          <w:tcPr>
            <w:tcW w:type="dxa" w:w="2880"/>
          </w:tcPr>
          <w:p>
            <w:r>
              <w:rPr>
                <w:rFonts w:ascii="Calibri" w:hAnsi="Calibri"/>
                <w:b/>
                <w:color w:val="30A46C"/>
                <w:sz w:val="22"/>
              </w:rPr>
              <w:t>Removes shareholder approval risk; deal remains on track pending FTC resolution; Cintas continues to expect H2 CY2026 close</w:t>
            </w:r>
          </w:p>
        </w:tc>
      </w:tr>
      <w:tr>
        <w:tc>
          <w:tcPr>
            <w:tcW w:type="dxa" w:w="2880"/>
          </w:tcPr>
          <w:p>
            <w:r>
              <w:rPr>
                <w:rFonts w:ascii="Calibri" w:hAnsi="Calibri"/>
                <w:sz w:val="22"/>
              </w:rPr>
              <w:t>July 1, 2026</w:t>
            </w:r>
          </w:p>
        </w:tc>
        <w:tc>
          <w:tcPr>
            <w:tcW w:type="dxa" w:w="2880"/>
          </w:tcPr>
          <w:p>
            <w:r>
              <w:rPr>
                <w:rFonts w:ascii="Calibri" w:hAnsi="Calibri"/>
                <w:sz w:val="22"/>
              </w:rPr>
              <w:t>Cintas announces webcast for Q4 FY2026 results on July 15, 2026 at 10:00 AM ET</w:t>
            </w:r>
          </w:p>
        </w:tc>
        <w:tc>
          <w:tcPr>
            <w:tcW w:type="dxa" w:w="2880"/>
          </w:tcPr>
          <w:p>
            <w:r>
              <w:rPr>
                <w:rFonts w:ascii="Calibri" w:hAnsi="Calibri"/>
                <w:sz w:val="22"/>
              </w:rPr>
              <w:t>Confirms earnings date; no pre-announcement or guidance update issued</w:t>
            </w:r>
          </w:p>
        </w:tc>
      </w:tr>
    </w:tbl>
    <w:p>
      <w:r>
        <w:rPr>
          <w:rFonts w:ascii="Calibri" w:hAnsi="Calibri"/>
          <w:i/>
          <w:color w:val="525866"/>
          <w:sz w:val="22"/>
        </w:rPr>
        <w:t>Source: Cintas 8-K filings (March 11, March 31, June 11–12, 2026); Cintas press releases.</w:t>
      </w:r>
    </w:p>
    <w:p>
      <w:r>
        <w:rPr>
          <w:rFonts w:ascii="Calibri" w:hAnsi="Calibri"/>
          <w:color w:val="525866"/>
          <w:sz w:val="22"/>
        </w:rPr>
        <w:t>The FTC Second Request is the most consequential development since the Q3 print. Under the HSR Act, the waiting period is now extended until 30 days after both companies substantially comply with the Second Request — a process that typically takes several months. Cintas and UniFirst have stated they are working cooperatively with the FTC. The key question for the Q4 call will be any incremental color on the regulatory process, potential remedies (e.g., divestitures), and whether the H2 CY2026 closing timeline is still realistic. The new $2B revolving credit facility (March 31) is a positive signal on financing, and the UniFirst shareholder approval (June 12) removes one key closing condition. The absence of any pre-announcement or guidance update ahead of Q4 earnings is consistent with management’s pattern and does not signal any unusual developments.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Insider activity since the Q3 print is minimal and not a meaningful signal — the only disclosed transaction is a director sale of 4,666 shares in April 2026, which is a routine open-market sale with no 10b5-1 plan and represents a small fraction of the director’s holdings.</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Filing Date</w:t>
            </w:r>
          </w:p>
        </w:tc>
        <w:tc>
          <w:tcPr>
            <w:tcW w:type="dxa" w:w="960"/>
            <w:shd w:val="clear" w:color="auto" w:fill="3B4259"/>
          </w:tcPr>
          <w:p>
            <w:r>
              <w:rPr>
                <w:rFonts w:ascii="Calibri" w:hAnsi="Calibri"/>
                <w:b/>
                <w:color w:val="FFFFFF"/>
                <w:sz w:val="22"/>
              </w:rPr>
              <w:t>Insider</w:t>
            </w:r>
          </w:p>
        </w:tc>
        <w:tc>
          <w:tcPr>
            <w:tcW w:type="dxa" w:w="960"/>
            <w:shd w:val="clear" w:color="auto" w:fill="3B4259"/>
          </w:tcPr>
          <w:p>
            <w:r>
              <w:rPr>
                <w:rFonts w:ascii="Calibri" w:hAnsi="Calibri"/>
                <w:b/>
                <w:color w:val="FFFFFF"/>
                <w:sz w:val="22"/>
              </w:rPr>
              <w:t>Role</w:t>
            </w:r>
          </w:p>
        </w:tc>
        <w:tc>
          <w:tcPr>
            <w:tcW w:type="dxa" w:w="960"/>
            <w:shd w:val="clear" w:color="auto" w:fill="3B4259"/>
          </w:tcPr>
          <w:p>
            <w:r>
              <w:rPr>
                <w:rFonts w:ascii="Calibri" w:hAnsi="Calibri"/>
                <w:b/>
                <w:color w:val="FFFFFF"/>
                <w:sz w:val="22"/>
              </w:rPr>
              <w:t>Transaction Date</w:t>
            </w:r>
          </w:p>
        </w:tc>
        <w:tc>
          <w:tcPr>
            <w:tcW w:type="dxa" w:w="960"/>
            <w:shd w:val="clear" w:color="auto" w:fill="3B4259"/>
          </w:tcPr>
          <w:p>
            <w:r>
              <w:rPr>
                <w:rFonts w:ascii="Calibri" w:hAnsi="Calibri"/>
                <w:b/>
                <w:color w:val="FFFFFF"/>
                <w:sz w:val="22"/>
              </w:rPr>
              <w:t>Type</w:t>
            </w:r>
          </w:p>
        </w:tc>
        <w:tc>
          <w:tcPr>
            <w:tcW w:type="dxa" w:w="960"/>
            <w:shd w:val="clear" w:color="auto" w:fill="3B4259"/>
          </w:tcPr>
          <w:p>
            <w:r>
              <w:rPr>
                <w:rFonts w:ascii="Calibri" w:hAnsi="Calibri"/>
                <w:b/>
                <w:color w:val="FFFFFF"/>
                <w:sz w:val="22"/>
              </w:rPr>
              <w:t>Shares</w:t>
            </w:r>
          </w:p>
        </w:tc>
        <w:tc>
          <w:tcPr>
            <w:tcW w:type="dxa" w:w="960"/>
            <w:shd w:val="clear" w:color="auto" w:fill="3B4259"/>
          </w:tcPr>
          <w:p>
            <w:r>
              <w:rPr>
                <w:rFonts w:ascii="Calibri" w:hAnsi="Calibri"/>
                <w:b/>
                <w:color w:val="FFFFFF"/>
                <w:sz w:val="22"/>
              </w:rPr>
              <w:t>Security</w:t>
            </w:r>
          </w:p>
        </w:tc>
        <w:tc>
          <w:tcPr>
            <w:tcW w:type="dxa" w:w="960"/>
            <w:shd w:val="clear" w:color="auto" w:fill="3B4259"/>
          </w:tcPr>
          <w:p>
            <w:r>
              <w:rPr>
                <w:rFonts w:ascii="Calibri" w:hAnsi="Calibri"/>
                <w:b/>
                <w:color w:val="FFFFFF"/>
                <w:sz w:val="22"/>
              </w:rPr>
              <w:t>10b5-1 Plan?</w:t>
            </w:r>
          </w:p>
        </w:tc>
        <w:tc>
          <w:tcPr>
            <w:tcW w:type="dxa" w:w="960"/>
            <w:shd w:val="clear" w:color="auto" w:fill="3B4259"/>
          </w:tcPr>
          <w:p>
            <w:r>
              <w:rPr>
                <w:rFonts w:ascii="Calibri" w:hAnsi="Calibri"/>
                <w:b/>
                <w:color w:val="FFFFFF"/>
                <w:sz w:val="22"/>
              </w:rPr>
              <w:t>Shares Owned After</w:t>
            </w:r>
          </w:p>
        </w:tc>
      </w:tr>
      <w:tr>
        <w:tc>
          <w:tcPr>
            <w:tcW w:type="dxa" w:w="960"/>
          </w:tcPr>
          <w:p>
            <w:r>
              <w:rPr>
                <w:rFonts w:ascii="Calibri" w:hAnsi="Calibri"/>
                <w:sz w:val="22"/>
              </w:rPr>
              <w:t>April 22, 2026</w:t>
            </w:r>
          </w:p>
        </w:tc>
        <w:tc>
          <w:tcPr>
            <w:tcW w:type="dxa" w:w="960"/>
          </w:tcPr>
          <w:p>
            <w:r>
              <w:rPr>
                <w:rFonts w:ascii="Calibri" w:hAnsi="Calibri"/>
                <w:sz w:val="22"/>
              </w:rPr>
              <w:t>Ronald W. Tysoe</w:t>
            </w:r>
          </w:p>
        </w:tc>
        <w:tc>
          <w:tcPr>
            <w:tcW w:type="dxa" w:w="960"/>
          </w:tcPr>
          <w:p>
            <w:r>
              <w:rPr>
                <w:rFonts w:ascii="Calibri" w:hAnsi="Calibri"/>
                <w:sz w:val="22"/>
              </w:rPr>
              <w:t>Director</w:t>
            </w:r>
          </w:p>
        </w:tc>
        <w:tc>
          <w:tcPr>
            <w:tcW w:type="dxa" w:w="960"/>
          </w:tcPr>
          <w:p>
            <w:r>
              <w:rPr>
                <w:rFonts w:ascii="Calibri" w:hAnsi="Calibri"/>
                <w:sz w:val="22"/>
              </w:rPr>
              <w:t>April 20, 2026</w:t>
            </w:r>
          </w:p>
        </w:tc>
        <w:tc>
          <w:tcPr>
            <w:tcW w:type="dxa" w:w="960"/>
          </w:tcPr>
          <w:p>
            <w:r>
              <w:rPr>
                <w:rFonts w:ascii="Calibri" w:hAnsi="Calibri"/>
                <w:sz w:val="22"/>
              </w:rPr>
              <w:t>Sale (Disposition)</w:t>
            </w:r>
          </w:p>
        </w:tc>
        <w:tc>
          <w:tcPr>
            <w:tcW w:type="dxa" w:w="960"/>
          </w:tcPr>
          <w:p>
            <w:r>
              <w:rPr>
                <w:rFonts w:ascii="Calibri" w:hAnsi="Calibri"/>
                <w:sz w:val="22"/>
              </w:rPr>
              <w:t>4,666</w:t>
            </w:r>
          </w:p>
        </w:tc>
        <w:tc>
          <w:tcPr>
            <w:tcW w:type="dxa" w:w="960"/>
          </w:tcPr>
          <w:p>
            <w:r>
              <w:rPr>
                <w:rFonts w:ascii="Calibri" w:hAnsi="Calibri"/>
                <w:sz w:val="22"/>
              </w:rPr>
              <w:t>Common Stock</w:t>
            </w:r>
          </w:p>
        </w:tc>
        <w:tc>
          <w:tcPr>
            <w:tcW w:type="dxa" w:w="960"/>
          </w:tcPr>
          <w:p>
            <w:r>
              <w:rPr>
                <w:rFonts w:ascii="Calibri" w:hAnsi="Calibri"/>
                <w:sz w:val="22"/>
              </w:rPr>
              <w:t>No</w:t>
            </w:r>
          </w:p>
        </w:tc>
        <w:tc>
          <w:tcPr>
            <w:tcW w:type="dxa" w:w="960"/>
          </w:tcPr>
          <w:p>
            <w:r>
              <w:rPr>
                <w:rFonts w:ascii="Calibri" w:hAnsi="Calibri"/>
                <w:sz w:val="22"/>
              </w:rPr>
              <w:t>22,448</w:t>
            </w:r>
          </w:p>
        </w:tc>
      </w:tr>
    </w:tbl>
    <w:p>
      <w:r>
        <w:rPr>
          <w:rFonts w:ascii="Calibri" w:hAnsi="Calibri"/>
          <w:i/>
          <w:color w:val="525866"/>
          <w:sz w:val="22"/>
        </w:rPr>
        <w:t>Source: SEC Form 4 Filing — Ronald W. Tysoe (CTAS), filed April 22, 2026 (transaction date April 20, 2026). Insider Transaction Data.</w:t>
      </w:r>
    </w:p>
    <w:p>
      <w:r>
        <w:rPr>
          <w:rFonts w:ascii="Calibri" w:hAnsi="Calibri"/>
          <w:color w:val="525866"/>
          <w:sz w:val="22"/>
        </w:rPr>
        <w:t>The only insider transaction disclosed since the Q3 FY2026 earnings print is a director-level sale of 4,666 shares by Ronald W. Tysoe on April 20, 2026. This is a routine open-market sale — not executed under a 10b5-1 pre-planned trading program — and represents approximately 17% of his post-transaction holdings of 22,448 shares. The sale occurred at approximately $178–$179 per share (based on the stock price on that date), which is below the current price of $184.33. There are no disclosed purchases by insiders in the period, and no executive-level (CEO, CFO, COO) transactions. The absence of insider buying ahead of earnings is not unusual for CTAS, where management has historically not signaled results through open-market purchases. The buyback program was paused during the UniFirst deal quiet period and is expected to resume; any update on buyback resumption on the Q4 call would be a positive capital allocation signal.</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