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elv-earnings-predictions--2026-07-15"/>
    <w:p>
      <w:pPr>
        <w:pStyle w:val="Heading1"/>
      </w:pPr>
      <w:r>
        <w:t xml:space="preserve">ELV Earnings Predictions — 2026-07-15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ELV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~$6.32 vs. cons $6.18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ELV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Benefit Expense Ratio (MLR)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~89.1% vs. cons 89.4%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ELV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Operating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~$48.7B vs. cons $48.65B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ELV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~$26.75 vs. cons $26.75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ELV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Medicaid operating margin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~-1.75% vs. cons -1.75%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ELV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Medicare Advantage operating margin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~2.0% vs. cons 2.0%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ELV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CMS risk-adjustment accrual adequacy commentary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~$935M accrual reaffirmed vs. cons $935M prior accrual (ahead of Jul 31, 2026 deadline)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ELV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ELV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-3.5% (FADE)</w:t>
            </w:r>
          </w:p>
        </w:tc>
        <w:tc>
          <w:tcPr/>
          <w:p>
            <w:pPr>
              <w:pStyle w:val="Compact"/>
            </w:pPr>
            <w:r>
              <w:t xml:space="preserve">Stock has rallied ~43% into the print, so even a modest EPS/MLR beat is largely priced in; reaffirming (rather than raising) full-year EPS guidance implicitly raises the H2 bar given Q1's one-time investment income tailwind, and the unresolved CMS risk-adjustment deadline (Jul 31) plus lingering ACA morbidity/mix uncertainty (per HCA's exchange-mix warning) give bears a reason to fade an initial pop; expect analysts to trim numbers on H2 conservatism even after a Q2 beat, producing fade rather than follow-through.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2026-07-15T00:37:03Z</dcterms:created>
  <dcterms:modified xsi:type="dcterms:W3CDTF">2026-07-15T00:37:03Z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