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lv-earnings-predictions--2026-07-15"/>
    <w:p>
      <w:pPr>
        <w:pStyle w:val="Heading1"/>
      </w:pPr>
      <w:r>
        <w:t xml:space="preserve">ELV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~$6.27 vs. cons $6.19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Benefit expense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~89.2% vs. cons 89.4%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~$48.70B vs. cons $48.55B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~$26.75 vs. cons $26.86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Medicaid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~-1.75% vs. cons -1.75%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~12.0% vs. cons 12.0%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-3.8% (FOLLOW-THROUGH)</w:t>
            </w:r>
          </w:p>
        </w:tc>
        <w:tc>
          <w:tcPr/>
          <w:p>
            <w:pPr>
              <w:pStyle w:val="Compact"/>
            </w:pPr>
            <w:r>
              <w:t xml:space="preserve">A modest reported EPS beat of ~$6.27 versus</w:t>
            </w:r>
            <w:r>
              <w:t xml:space="preserve"> </w:t>
            </w:r>
            <m:oMath>
              <m:r>
                <m:t>6.19</m:t>
              </m:r>
              <m:r>
                <m:t>i</m:t>
              </m:r>
              <m:r>
                <m:t>s</m:t>
              </m:r>
              <m:r>
                <m:t>u</m:t>
              </m:r>
              <m:r>
                <m:t>n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t</m:t>
              </m:r>
              <m:r>
                <m:t>o</m:t>
              </m:r>
              <m:r>
                <m:t>o</m:t>
              </m:r>
              <m:r>
                <m:t>f</m:t>
              </m:r>
              <m:r>
                <m:t>f</m:t>
              </m:r>
              <m:r>
                <m:t>s</m:t>
              </m:r>
              <m:r>
                <m:t>e</m:t>
              </m:r>
              <m:r>
                <m:t>t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f</m:t>
              </m:r>
              <m:r>
                <m:t>l</m:t>
              </m:r>
              <m:r>
                <m:t>o</m:t>
              </m:r>
              <m:r>
                <m:t>o</m:t>
              </m:r>
              <m:r>
                <m:t>r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26.75 versus $26.86 consensus. With the stock already pricing in recovery, limited guidance upside should leave FY2026 revisions flat-to-down and restrain the FY2027 earnings bridge despite reiteration of ~12.0% growth versus 12.0% consensus.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2026-07-15T00:20:50Z</dcterms:created>
  <dcterms:modified xsi:type="dcterms:W3CDTF">2026-07-15T00:20:50Z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