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8971e763c4a8d7bbedba3b97f1913e2a75917f"/>
    <w:p>
      <w:pPr>
        <w:pStyle w:val="Heading1"/>
      </w:pPr>
      <w:r>
        <w:t xml:space="preserve">Elevance Health (NYSE: ELV) — 2Q26 Earnings Preview</w:t>
      </w:r>
    </w:p>
    <w:p>
      <w:pPr>
        <w:pStyle w:val="FirstParagraph"/>
      </w:pPr>
      <w:r>
        <w:rPr>
          <w:b/>
          <w:bCs/>
        </w:rPr>
        <w:t xml:space="preserve">Event:</w:t>
      </w:r>
      <w:r>
        <w:t xml:space="preserve"> </w:t>
      </w:r>
      <w:r>
        <w:t xml:space="preserve">Wednesday, July 15, 2026</w:t>
      </w:r>
      <w:r>
        <w:br/>
      </w:r>
      <w:r>
        <w:rPr>
          <w:b/>
          <w:bCs/>
        </w:rPr>
        <w:t xml:space="preserve">Focus:</w:t>
      </w:r>
      <w:r>
        <w:t xml:space="preserve"> </w:t>
      </w:r>
      <w:r>
        <w:t xml:space="preserve">Whether improving claims trends can sustain the raised 2026 outlook—and whether the market has already priced in much of the good news.</w:t>
      </w:r>
    </w:p>
    <w:bookmarkStart w:id="9" w:name="investment-framing"/>
    <w:p>
      <w:pPr>
        <w:pStyle w:val="Heading2"/>
      </w:pPr>
      <w:r>
        <w:t xml:space="preserve">Investment framing</w:t>
      </w:r>
    </w:p>
    <w:p>
      <w:pPr>
        <w:pStyle w:val="FirstParagraph"/>
      </w:pPr>
      <w:r>
        <w:t xml:space="preserve">Elevance enters 2Q with clear operating momentum but a meaningfully higher bar. The company exceeded expectations in 1Q, raised its full-year adjusted EPS outlook to</w:t>
      </w:r>
      <w:r>
        <w:t xml:space="preserve"> </w:t>
      </w:r>
      <w:r>
        <w:rPr>
          <w:b/>
          <w:bCs/>
        </w:rPr>
        <w:t xml:space="preserve">at least $26.75</w:t>
      </w:r>
      <w:r>
        <w:t xml:space="preserve"> </w:t>
      </w:r>
      <w:r>
        <w:t xml:space="preserve">from</w:t>
      </w:r>
      <w:r>
        <w:t xml:space="preserve"> </w:t>
      </w:r>
      <w:r>
        <w:rPr>
          <w:b/>
          <w:bCs/>
        </w:rPr>
        <w:t xml:space="preserve">at least $25.50</w:t>
      </w:r>
      <w:r>
        <w:t xml:space="preserve">, and reaffirmed a goal of at least</w:t>
      </w:r>
      <w:r>
        <w:t xml:space="preserve"> </w:t>
      </w:r>
      <w:r>
        <w:rPr>
          <w:b/>
          <w:bCs/>
        </w:rPr>
        <w:t xml:space="preserve">12% adjusted EPS growth in 2027</w:t>
      </w:r>
      <w:r>
        <w:t xml:space="preserve"> </w:t>
      </w:r>
      <w:r>
        <w:t xml:space="preserve">off a stated</w:t>
      </w:r>
      <w:r>
        <w:t xml:space="preserve"> </w:t>
      </w:r>
      <m:oMath>
        <m:r>
          <m:t>25.75</m:t>
        </m:r>
        <m:r>
          <m:t>n</m:t>
        </m:r>
        <m:r>
          <m:t>o</m:t>
        </m:r>
        <m:r>
          <m:t>r</m:t>
        </m:r>
        <m:r>
          <m:t>m</m:t>
        </m:r>
        <m:r>
          <m:t>a</m:t>
        </m:r>
        <m:r>
          <m:t>l</m:t>
        </m:r>
        <m:r>
          <m:t>i</m:t>
        </m:r>
        <m:r>
          <m:t>z</m:t>
        </m:r>
        <m:r>
          <m:t>e</m:t>
        </m:r>
        <m:r>
          <m:t>d</m:t>
        </m:r>
        <m:r>
          <m:t>2026</m:t>
        </m:r>
        <m:r>
          <m:t>b</m:t>
        </m:r>
        <m:r>
          <m:t>a</m:t>
        </m:r>
        <m:r>
          <m:t>s</m:t>
        </m:r>
        <m:r>
          <m:t>e</m:t>
        </m:r>
        <m:r>
          <m:rPr>
            <m:sty m:val="p"/>
          </m:rPr>
          <m:t>.</m:t>
        </m:r>
        <m:r>
          <m:t>M</m:t>
        </m:r>
        <m:r>
          <m:t>a</m:t>
        </m:r>
        <m:r>
          <m:t>n</m:t>
        </m:r>
        <m:r>
          <m:t>a</m:t>
        </m:r>
        <m:r>
          <m:t>g</m:t>
        </m:r>
        <m:r>
          <m:t>e</m:t>
        </m:r>
        <m:r>
          <m:t>m</m:t>
        </m:r>
        <m:r>
          <m:t>e</m:t>
        </m:r>
        <m:r>
          <m:t>n</m:t>
        </m:r>
        <m:r>
          <m:t>t</m:t>
        </m:r>
        <m:r>
          <m:rPr>
            <m:sty m:val="p"/>
          </m:rPr>
          <m:t>’</m:t>
        </m:r>
        <m:r>
          <m:t>s</m:t>
        </m:r>
        <m:r>
          <m:t>o</m:t>
        </m:r>
        <m:r>
          <m:t>w</m:t>
        </m:r>
        <m:r>
          <m:t>n</m:t>
        </m:r>
        <m:r>
          <m:t>1</m:t>
        </m:r>
        <m:r>
          <m:t>Q</m:t>
        </m:r>
        <m:r>
          <m:t>f</m:t>
        </m:r>
        <m:r>
          <m:t>r</m:t>
        </m:r>
        <m:r>
          <m:t>a</m:t>
        </m:r>
        <m:r>
          <m:t>m</m:t>
        </m:r>
        <m:r>
          <m:t>e</m:t>
        </m:r>
        <m:r>
          <m:t>w</m:t>
        </m:r>
        <m:r>
          <m:t>o</m:t>
        </m:r>
        <m:r>
          <m:t>r</m:t>
        </m:r>
        <m:r>
          <m:t>k</m:t>
        </m:r>
        <m:r>
          <m:t>i</m:t>
        </m:r>
        <m:r>
          <m:t>m</m:t>
        </m:r>
        <m:r>
          <m:t>p</m:t>
        </m:r>
        <m:r>
          <m:t>l</m:t>
        </m:r>
        <m:r>
          <m:t>i</m:t>
        </m:r>
        <m:r>
          <m:t>e</m:t>
        </m:r>
        <m:r>
          <m:t>d</m:t>
        </m:r>
        <m:r>
          <m:t>t</m:t>
        </m:r>
        <m:r>
          <m:t>h</m:t>
        </m:r>
        <m:r>
          <m:t>a</m:t>
        </m:r>
        <m:r>
          <m:t>t</m:t>
        </m:r>
        <m:r>
          <m:t>2</m:t>
        </m:r>
        <m:r>
          <m:t>Q</m:t>
        </m:r>
        <m:r>
          <m:t>E</m:t>
        </m:r>
        <m:r>
          <m:t>P</m:t>
        </m:r>
        <m:r>
          <m:t>S</m:t>
        </m:r>
        <m:r>
          <m:t>s</m:t>
        </m:r>
        <m:r>
          <m:t>h</m:t>
        </m:r>
        <m:r>
          <m:t>o</m:t>
        </m:r>
        <m:r>
          <m:t>u</m:t>
        </m:r>
        <m:r>
          <m:t>l</m:t>
        </m:r>
        <m:r>
          <m:t>d</m:t>
        </m:r>
        <m:r>
          <m:t>r</m:t>
        </m:r>
        <m:r>
          <m:t>e</m:t>
        </m:r>
        <m:r>
          <m:t>p</m:t>
        </m:r>
        <m:r>
          <m:t>r</m:t>
        </m:r>
        <m:r>
          <m:t>e</m:t>
        </m:r>
        <m:r>
          <m:t>s</m:t>
        </m:r>
        <m:r>
          <m:t>e</m:t>
        </m:r>
        <m:r>
          <m:t>n</m:t>
        </m:r>
        <m:r>
          <m:t>t</m:t>
        </m:r>
        <m:r>
          <m:t>r</m:t>
        </m:r>
        <m:r>
          <m:t>o</m:t>
        </m:r>
        <m:r>
          <m:t>u</m:t>
        </m:r>
        <m:r>
          <m:t>g</m:t>
        </m:r>
        <m:r>
          <m:t>h</m:t>
        </m:r>
        <m:r>
          <m:t>l</m:t>
        </m:r>
        <m:r>
          <m:t>y</m:t>
        </m:r>
        <m:r>
          <m:rPr>
            <m:sty m:val="p"/>
          </m:rPr>
          <m:t>*</m:t>
        </m:r>
        <m:r>
          <m:rPr>
            <m:sty m:val="p"/>
          </m:rPr>
          <m:t>*</m:t>
        </m:r>
        <m:r>
          <m:t>23</m:t>
        </m:r>
      </m:oMath>
      <w:r>
        <w:t xml:space="preserve">6.15 per share**—so the primary question is less about a quarterly beat in isolation and more about the durability of medical-cost performance through the second half.</w:t>
      </w:r>
    </w:p>
    <w:p>
      <w:pPr>
        <w:pStyle w:val="BodyText"/>
      </w:pPr>
      <w:r>
        <w:t xml:space="preserve">The shares closed at</w:t>
      </w:r>
      <w:r>
        <w:t xml:space="preserve"> </w:t>
      </w:r>
      <w:r>
        <w:rPr>
          <w:b/>
          <w:bCs/>
        </w:rPr>
        <w:t xml:space="preserve">$426.83 on July 14</w:t>
      </w:r>
      <w:r>
        <w:t xml:space="preserve">, up approximately</w:t>
      </w:r>
      <w:r>
        <w:t xml:space="preserve"> </w:t>
      </w:r>
      <w:r>
        <w:rPr>
          <w:b/>
          <w:bCs/>
        </w:rPr>
        <w:t xml:space="preserve">20.5% year to date</w:t>
      </w:r>
      <w:r>
        <w:t xml:space="preserve"> </w:t>
      </w:r>
      <w:r>
        <w:t xml:space="preserve">and</w:t>
      </w:r>
      <w:r>
        <w:t xml:space="preserve"> </w:t>
      </w:r>
      <w:r>
        <w:rPr>
          <w:b/>
          <w:bCs/>
        </w:rPr>
        <w:t xml:space="preserve">30.1% from the April 22 1Q-results date</w:t>
      </w:r>
      <w:r>
        <w:t xml:space="preserve">. That recovery reflects investor confidence in the reset Medicare Advantage portfolio, improving claims experience, disciplined commercial pricing, and capital return. It also means the stock likely needs confirmation that first-quarter favorable trends were not merely timing- or seasonality-driven.</w:t>
      </w:r>
    </w:p>
    <w:bookmarkEnd w:id="9"/>
    <w:bookmarkStart w:id="10" w:name="X680031d32c2fa618b8196543b4815a2da2356a8"/>
    <w:p>
      <w:pPr>
        <w:pStyle w:val="Heading2"/>
      </w:pPr>
      <w:r>
        <w:t xml:space="preserve">The setup: what management has already told investors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Key item</w:t>
            </w:r>
          </w:p>
        </w:tc>
        <w:tc>
          <w:tcPr/>
          <w:p>
            <w:pPr>
              <w:pStyle w:val="Compact"/>
              <w:jc w:val="right"/>
            </w:pPr>
            <w:r>
              <w:t xml:space="preserve">1Q26 result / outlook</w:t>
            </w:r>
          </w:p>
        </w:tc>
        <w:tc>
          <w:tcPr/>
          <w:p>
            <w:pPr>
              <w:pStyle w:val="Compact"/>
            </w:pPr>
            <w:r>
              <w:t xml:space="preserve">Why it matters for 2Q</w:t>
            </w:r>
          </w:p>
        </w:tc>
      </w:tr>
      <w:tr>
        <w:tc>
          <w:tcPr/>
          <w:p>
            <w:pPr>
              <w:pStyle w:val="Compact"/>
            </w:pPr>
            <w:r>
              <w:t xml:space="preserve">Adjusted EPS</w:t>
            </w:r>
          </w:p>
        </w:tc>
        <w:tc>
          <w:tcPr/>
          <w:p>
            <w:pPr>
              <w:pStyle w:val="Compact"/>
              <w:jc w:val="right"/>
            </w:pPr>
            <w:r>
              <w:rPr>
                <w:b/>
                <w:bCs/>
              </w:rPr>
              <w:t xml:space="preserve">$12.58</w:t>
            </w:r>
            <w:r>
              <w:t xml:space="preserve">, +5.1% Y/Y</w:t>
            </w:r>
          </w:p>
        </w:tc>
        <w:tc>
          <w:tcPr/>
          <w:p>
            <w:pPr>
              <w:pStyle w:val="Compact"/>
            </w:pPr>
            <w:r>
              <w:t xml:space="preserve">Included approximately</w:t>
            </w:r>
            <w:r>
              <w:t xml:space="preserve"> </w:t>
            </w:r>
            <w:r>
              <w:rPr>
                <w:b/>
                <w:bCs/>
              </w:rPr>
              <w:t xml:space="preserve">$1/share</w:t>
            </w:r>
            <w:r>
              <w:t xml:space="preserve"> </w:t>
            </w:r>
            <w:r>
              <w:t xml:space="preserve">of non-recurring investment income and ACA timing benefits. Investors will want to see quality of earnings normalize as expected.</w:t>
            </w:r>
          </w:p>
        </w:tc>
      </w:tr>
      <w:tr>
        <w:tc>
          <w:tcPr/>
          <w:p>
            <w:pPr>
              <w:pStyle w:val="Compact"/>
            </w:pPr>
            <w:r>
              <w:t xml:space="preserve">FY26 adjusted EPS guidance</w:t>
            </w:r>
          </w:p>
        </w:tc>
        <w:tc>
          <w:tcPr/>
          <w:p>
            <w:pPr>
              <w:pStyle w:val="Compact"/>
              <w:jc w:val="right"/>
            </w:pPr>
            <w:r>
              <w:rPr>
                <w:b/>
                <w:bCs/>
              </w:rPr>
              <w:t xml:space="preserve">At least $26.75</w:t>
            </w:r>
          </w:p>
        </w:tc>
        <w:tc>
          <w:tcPr/>
          <w:p>
            <w:pPr>
              <w:pStyle w:val="Compact"/>
            </w:pPr>
            <w:r>
              <w:t xml:space="preserve">Raised by $1.25 in 1Q; $1 of the increase was non-recurring investment income, while $0.25 reflected underlying operating improvement.</w:t>
            </w:r>
          </w:p>
        </w:tc>
      </w:tr>
      <w:tr>
        <w:tc>
          <w:tcPr/>
          <w:p>
            <w:pPr>
              <w:pStyle w:val="Compact"/>
            </w:pPr>
            <w:r>
              <w:t xml:space="preserve">Implied 2Q EPS</w:t>
            </w:r>
          </w:p>
        </w:tc>
        <w:tc>
          <w:tcPr/>
          <w:p>
            <w:pPr>
              <w:pStyle w:val="Compact"/>
              <w:jc w:val="right"/>
            </w:pPr>
            <w:r>
              <w:t xml:space="preserve">Roughly</w:t>
            </w:r>
            <w:r>
              <w:t xml:space="preserve"> </w:t>
            </w:r>
            <w:r>
              <w:rPr>
                <w:b/>
                <w:bCs/>
              </w:rPr>
              <w:t xml:space="preserve">$6.15</w:t>
            </w:r>
          </w:p>
        </w:tc>
        <w:tc>
          <w:tcPr/>
          <w:p>
            <w:pPr>
              <w:pStyle w:val="Compact"/>
            </w:pPr>
            <w:r>
              <w:t xml:space="preserve">Management said 2Q should be approximately 23% of FY guidance; this is the most useful disclosed earnings reference point going into the print.</w:t>
            </w:r>
          </w:p>
        </w:tc>
      </w:tr>
      <w:tr>
        <w:tc>
          <w:tcPr/>
          <w:p>
            <w:pPr>
              <w:pStyle w:val="Compact"/>
            </w:pPr>
            <w:r>
              <w:t xml:space="preserve">Benefit expense ratio</w:t>
            </w:r>
          </w:p>
        </w:tc>
        <w:tc>
          <w:tcPr/>
          <w:p>
            <w:pPr>
              <w:pStyle w:val="Compact"/>
              <w:jc w:val="right"/>
            </w:pPr>
            <w:r>
              <w:rPr>
                <w:b/>
                <w:bCs/>
              </w:rPr>
              <w:t xml:space="preserve">86.8%</w:t>
            </w:r>
            <w:r>
              <w:t xml:space="preserve">, +40 bps Y/Y</w:t>
            </w:r>
          </w:p>
        </w:tc>
        <w:tc>
          <w:tcPr/>
          <w:p>
            <w:pPr>
              <w:pStyle w:val="Compact"/>
            </w:pPr>
            <w:r>
              <w:t xml:space="preserve">Better claims experience helped 1Q, but the 2Q result must support confidence in the full-year medical-cost assumptions.</w:t>
            </w:r>
          </w:p>
        </w:tc>
      </w:tr>
      <w:tr>
        <w:tc>
          <w:tcPr/>
          <w:p>
            <w:pPr>
              <w:pStyle w:val="Compact"/>
            </w:pPr>
            <w:r>
              <w:t xml:space="preserve">Adjusted operating expense ratio</w:t>
            </w:r>
          </w:p>
        </w:tc>
        <w:tc>
          <w:tcPr/>
          <w:p>
            <w:pPr>
              <w:pStyle w:val="Compact"/>
              <w:jc w:val="right"/>
            </w:pPr>
            <w:r>
              <w:rPr>
                <w:b/>
                <w:bCs/>
              </w:rPr>
              <w:t xml:space="preserve">10.5%</w:t>
            </w:r>
            <w:r>
              <w:t xml:space="preserve">, -20 bps Y/Y</w:t>
            </w:r>
          </w:p>
        </w:tc>
        <w:tc>
          <w:tcPr/>
          <w:p>
            <w:pPr>
              <w:pStyle w:val="Compact"/>
            </w:pPr>
            <w:r>
              <w:t xml:space="preserve">Expense discipline is a favorable offset to still-elevated medical trend.</w:t>
            </w:r>
          </w:p>
        </w:tc>
      </w:tr>
      <w:tr>
        <w:tc>
          <w:tcPr/>
          <w:p>
            <w:pPr>
              <w:pStyle w:val="Compact"/>
            </w:pPr>
            <w:r>
              <w:t xml:space="preserve">Medicaid outlook</w:t>
            </w:r>
          </w:p>
        </w:tc>
        <w:tc>
          <w:tcPr/>
          <w:p>
            <w:pPr>
              <w:pStyle w:val="Compact"/>
              <w:jc w:val="right"/>
            </w:pPr>
            <w:r>
              <w:t xml:space="preserve">Approx.</w:t>
            </w:r>
            <w:r>
              <w:t xml:space="preserve"> </w:t>
            </w:r>
            <w:r>
              <w:rPr>
                <w:b/>
                <w:bCs/>
              </w:rPr>
              <w:t xml:space="preserve">(1.75%) operating margin</w:t>
            </w:r>
            <w:r>
              <w:t xml:space="preserve"> </w:t>
            </w:r>
            <w:r>
              <w:t xml:space="preserve">for FY26</w:t>
            </w:r>
          </w:p>
        </w:tc>
        <w:tc>
          <w:tcPr/>
          <w:p>
            <w:pPr>
              <w:pStyle w:val="Compact"/>
            </w:pPr>
            <w:r>
              <w:t xml:space="preserve">This remains the weakest major business and the largest execution risk.</w:t>
            </w:r>
          </w:p>
        </w:tc>
      </w:tr>
      <w:tr>
        <w:tc>
          <w:tcPr/>
          <w:p>
            <w:pPr>
              <w:pStyle w:val="Compact"/>
            </w:pPr>
            <w:r>
              <w:t xml:space="preserve">Medicare Advantage outlook</w:t>
            </w:r>
          </w:p>
        </w:tc>
        <w:tc>
          <w:tcPr/>
          <w:p>
            <w:pPr>
              <w:pStyle w:val="Compact"/>
              <w:jc w:val="right"/>
            </w:pPr>
            <w:r>
              <w:t xml:space="preserve">At least</w:t>
            </w:r>
            <w:r>
              <w:t xml:space="preserve"> </w:t>
            </w:r>
            <w:r>
              <w:rPr>
                <w:b/>
                <w:bCs/>
              </w:rPr>
              <w:t xml:space="preserve">2% operating margin</w:t>
            </w:r>
            <w:r>
              <w:t xml:space="preserve"> </w:t>
            </w:r>
            <w:r>
              <w:t xml:space="preserve">for FY26</w:t>
            </w:r>
          </w:p>
        </w:tc>
        <w:tc>
          <w:tcPr/>
          <w:p>
            <w:pPr>
              <w:pStyle w:val="Compact"/>
            </w:pPr>
            <w:r>
              <w:t xml:space="preserve">Repositioning actions are working so far; sustaining that recovery is essential to the equity story.</w:t>
            </w:r>
          </w:p>
        </w:tc>
      </w:tr>
      <w:tr>
        <w:tc>
          <w:tcPr/>
          <w:p>
            <w:pPr>
              <w:pStyle w:val="Compact"/>
            </w:pPr>
            <w:r>
              <w:t xml:space="preserve">Operating cash flow</w:t>
            </w:r>
          </w:p>
        </w:tc>
        <w:tc>
          <w:tcPr/>
          <w:p>
            <w:pPr>
              <w:pStyle w:val="Compact"/>
              <w:jc w:val="right"/>
            </w:pPr>
            <w:r>
              <w:t xml:space="preserve">FY26 target of at least</w:t>
            </w:r>
            <w:r>
              <w:t xml:space="preserve"> </w:t>
            </w:r>
            <w:r>
              <w:rPr>
                <w:b/>
                <w:bCs/>
              </w:rPr>
              <w:t xml:space="preserve">$5.5B</w:t>
            </w:r>
          </w:p>
        </w:tc>
        <w:tc>
          <w:tcPr/>
          <w:p>
            <w:pPr>
              <w:pStyle w:val="Compact"/>
            </w:pPr>
            <w:r>
              <w:t xml:space="preserve">1Q operating cash flow was a strong $4.3B, though aided by working-capital dynamics.</w:t>
            </w:r>
          </w:p>
        </w:tc>
      </w:tr>
      <w:tr>
        <w:tc>
          <w:tcPr/>
          <w:p>
            <w:pPr>
              <w:pStyle w:val="Compact"/>
            </w:pPr>
            <w:r>
              <w:t xml:space="preserve">Capital return</w:t>
            </w:r>
          </w:p>
        </w:tc>
        <w:tc>
          <w:tcPr/>
          <w:p>
            <w:pPr>
              <w:pStyle w:val="Compact"/>
              <w:jc w:val="right"/>
            </w:pPr>
            <w:r>
              <w:t xml:space="preserve">At least</w:t>
            </w:r>
            <w:r>
              <w:t xml:space="preserve"> </w:t>
            </w:r>
            <w:r>
              <w:rPr>
                <w:b/>
                <w:bCs/>
              </w:rPr>
              <w:t xml:space="preserve">$2.3B</w:t>
            </w:r>
            <w:r>
              <w:t xml:space="preserve"> </w:t>
            </w:r>
            <w:r>
              <w:t xml:space="preserve">of 2026 buybacks targeted</w:t>
            </w:r>
          </w:p>
        </w:tc>
        <w:tc>
          <w:tcPr/>
          <w:p>
            <w:pPr>
              <w:pStyle w:val="Compact"/>
            </w:pPr>
            <w:r>
              <w:t xml:space="preserve">ELV repurchased $1.1B of stock in 1Q and had $5.6B of authorization remaining at quarter-end.</w:t>
            </w:r>
          </w:p>
        </w:tc>
      </w:tr>
    </w:tbl>
    <w:bookmarkEnd w:id="10"/>
    <w:bookmarkStart w:id="16" w:name="what-matters-most-in-the-report"/>
    <w:p>
      <w:pPr>
        <w:pStyle w:val="Heading2"/>
      </w:pPr>
      <w:r>
        <w:t xml:space="preserve">What matters most in the report</w:t>
      </w:r>
    </w:p>
    <w:bookmarkStart w:id="11" w:name="X25ffc076e327e90218f865fe0ef7d49e692c4b1"/>
    <w:p>
      <w:pPr>
        <w:pStyle w:val="Heading3"/>
      </w:pPr>
      <w:r>
        <w:t xml:space="preserve">1. Medical-cost trend: confirmation, not another one-quarter benefit</w:t>
      </w:r>
    </w:p>
    <w:p>
      <w:pPr>
        <w:pStyle w:val="FirstParagraph"/>
      </w:pPr>
      <w:r>
        <w:t xml:space="preserve">In 1Q, Elevance described about</w:t>
      </w:r>
      <w:r>
        <w:t xml:space="preserve"> </w:t>
      </w:r>
      <m:oMath>
        <m:r>
          <m:t>0.45</m:t>
        </m:r>
        <m:r>
          <m:rPr>
            <m:sty m:val="p"/>
          </m:rPr>
          <m:t>/</m:t>
        </m:r>
        <m:r>
          <m:t>s</m:t>
        </m:r>
        <m:r>
          <m:t>h</m:t>
        </m:r>
        <m:r>
          <m:t>a</m:t>
        </m:r>
        <m:r>
          <m:t>r</m:t>
        </m:r>
        <m:r>
          <m:t>e</m:t>
        </m:r>
        <m:r>
          <m:rPr>
            <m:sty m:val="p"/>
          </m:rPr>
          <m:t>*</m:t>
        </m:r>
        <m:r>
          <m:rPr>
            <m:sty m:val="p"/>
          </m:rPr>
          <m:t>*</m:t>
        </m:r>
        <m:r>
          <m:t>o</m:t>
        </m:r>
        <m:r>
          <m:t>f</m:t>
        </m:r>
        <m:r>
          <m:t>c</m:t>
        </m:r>
        <m:r>
          <m:t>o</m:t>
        </m:r>
        <m:r>
          <m:t>r</m:t>
        </m:r>
        <m:r>
          <m:t>e</m:t>
        </m:r>
        <m:r>
          <m:t>o</m:t>
        </m:r>
        <m:r>
          <m:t>p</m:t>
        </m:r>
        <m:r>
          <m:t>e</m:t>
        </m:r>
        <m:r>
          <m:t>r</m:t>
        </m:r>
        <m:r>
          <m:t>a</m:t>
        </m:r>
        <m:r>
          <m:t>t</m:t>
        </m:r>
        <m:r>
          <m:t>i</m:t>
        </m:r>
        <m:r>
          <m:t>n</m:t>
        </m:r>
        <m:r>
          <m:t>g</m:t>
        </m:r>
        <m:r>
          <m:t>o</m:t>
        </m:r>
        <m:r>
          <m:t>u</m:t>
        </m:r>
        <m:r>
          <m:t>t</m:t>
        </m:r>
        <m:r>
          <m:t>p</m:t>
        </m:r>
        <m:r>
          <m:t>e</m:t>
        </m:r>
        <m:r>
          <m:t>r</m:t>
        </m:r>
        <m:r>
          <m:t>f</m:t>
        </m:r>
        <m:r>
          <m:t>o</m:t>
        </m:r>
        <m:r>
          <m:t>r</m:t>
        </m:r>
        <m:r>
          <m:t>m</m:t>
        </m:r>
        <m:r>
          <m:t>a</m:t>
        </m:r>
        <m:r>
          <m:t>n</m:t>
        </m:r>
        <m:r>
          <m:t>c</m:t>
        </m:r>
        <m:r>
          <m:t>e</m:t>
        </m:r>
        <m:r>
          <m:rPr>
            <m:sty m:val="p"/>
          </m:rPr>
          <m:t>:</m:t>
        </m:r>
        <m:r>
          <m:t>r</m:t>
        </m:r>
        <m:r>
          <m:t>o</m:t>
        </m:r>
        <m:r>
          <m:t>u</m:t>
        </m:r>
        <m:r>
          <m:t>g</m:t>
        </m:r>
        <m:r>
          <m:t>h</m:t>
        </m:r>
        <m:r>
          <m:t>l</m:t>
        </m:r>
        <m:r>
          <m:t>y</m:t>
        </m:r>
        <m:r>
          <m:t>t</m:t>
        </m:r>
        <m:r>
          <m:t>w</m:t>
        </m:r>
        <m:r>
          <m:t>o</m:t>
        </m:r>
        <m:r>
          <m:rPr>
            <m:sty m:val="p"/>
          </m:rPr>
          <m:t>−</m:t>
        </m:r>
        <m:r>
          <m:t>t</m:t>
        </m:r>
        <m:r>
          <m:t>h</m:t>
        </m:r>
        <m:r>
          <m:t>i</m:t>
        </m:r>
        <m:r>
          <m:t>r</m:t>
        </m:r>
        <m:r>
          <m:t>d</m:t>
        </m:r>
        <m:r>
          <m:t>s</m:t>
        </m:r>
        <m:r>
          <m:t>s</m:t>
        </m:r>
        <m:r>
          <m:t>t</m:t>
        </m:r>
        <m:r>
          <m:t>e</m:t>
        </m:r>
        <m:r>
          <m:t>m</m:t>
        </m:r>
        <m:r>
          <m:t>m</m:t>
        </m:r>
        <m:r>
          <m:t>e</m:t>
        </m:r>
        <m:r>
          <m:t>d</m:t>
        </m:r>
        <m:r>
          <m:t>f</m:t>
        </m:r>
        <m:r>
          <m:t>r</m:t>
        </m:r>
        <m:r>
          <m:t>o</m:t>
        </m:r>
        <m:r>
          <m:t>m</m:t>
        </m:r>
        <m:r>
          <m:t>b</m:t>
        </m:r>
        <m:r>
          <m:t>e</m:t>
        </m:r>
        <m:r>
          <m:t>t</m:t>
        </m:r>
        <m:r>
          <m:t>t</m:t>
        </m:r>
        <m:r>
          <m:t>e</m:t>
        </m:r>
        <m:r>
          <m:t>r</m:t>
        </m:r>
        <m:r>
          <m:t>u</m:t>
        </m:r>
        <m:r>
          <m:t>n</m:t>
        </m:r>
        <m:r>
          <m:t>d</m:t>
        </m:r>
        <m:r>
          <m:t>e</m:t>
        </m:r>
        <m:r>
          <m:t>r</m:t>
        </m:r>
        <m:r>
          <m:t>l</m:t>
        </m:r>
        <m:r>
          <m:t>y</m:t>
        </m:r>
        <m:r>
          <m:t>i</m:t>
        </m:r>
        <m:r>
          <m:t>n</m:t>
        </m:r>
        <m:r>
          <m:t>g</m:t>
        </m:r>
        <m:r>
          <m:t>c</m:t>
        </m:r>
        <m:r>
          <m:t>l</m:t>
        </m:r>
        <m:r>
          <m:t>a</m:t>
        </m:r>
        <m:r>
          <m:t>i</m:t>
        </m:r>
        <m:r>
          <m:t>m</m:t>
        </m:r>
        <m:r>
          <m:t>s</m:t>
        </m:r>
        <m:r>
          <m:t>e</m:t>
        </m:r>
        <m:r>
          <m:t>x</m:t>
        </m:r>
        <m:r>
          <m:t>p</m:t>
        </m:r>
        <m:r>
          <m:t>e</m:t>
        </m:r>
        <m:r>
          <m:t>r</m:t>
        </m:r>
        <m:r>
          <m:t>i</m:t>
        </m:r>
        <m:r>
          <m:t>e</m:t>
        </m:r>
        <m:r>
          <m:t>n</m:t>
        </m:r>
        <m:r>
          <m:t>c</m:t>
        </m:r>
        <m:r>
          <m:t>e</m:t>
        </m:r>
        <m:r>
          <m:t>a</m:t>
        </m:r>
        <m:r>
          <m:t>n</m:t>
        </m:r>
        <m:r>
          <m:t>d</m:t>
        </m:r>
        <m:r>
          <m:t>o</m:t>
        </m:r>
        <m:r>
          <m:t>n</m:t>
        </m:r>
        <m:r>
          <m:t>e</m:t>
        </m:r>
        <m:r>
          <m:rPr>
            <m:sty m:val="p"/>
          </m:rPr>
          <m:t>−</m:t>
        </m:r>
        <m:r>
          <m:t>t</m:t>
        </m:r>
        <m:r>
          <m:t>h</m:t>
        </m:r>
        <m:r>
          <m:t>i</m:t>
        </m:r>
        <m:r>
          <m:t>r</m:t>
        </m:r>
        <m:r>
          <m:t>d</m:t>
        </m:r>
        <m:r>
          <m:t>f</m:t>
        </m:r>
        <m:r>
          <m:t>r</m:t>
        </m:r>
        <m:r>
          <m:t>o</m:t>
        </m:r>
        <m:r>
          <m:t>m</m:t>
        </m:r>
        <m:r>
          <m:t>A</m:t>
        </m:r>
        <m:r>
          <m:t>C</m:t>
        </m:r>
        <m:r>
          <m:t>A</m:t>
        </m:r>
        <m:r>
          <m:t>t</m:t>
        </m:r>
        <m:r>
          <m:t>i</m:t>
        </m:r>
        <m:r>
          <m:t>m</m:t>
        </m:r>
        <m:r>
          <m:t>i</m:t>
        </m:r>
        <m:r>
          <m:t>n</m:t>
        </m:r>
        <m:r>
          <m:t>g</m:t>
        </m:r>
        <m:r>
          <m:rPr>
            <m:sty m:val="p"/>
          </m:rPr>
          <m:t>.</m:t>
        </m:r>
        <m:r>
          <m:t>A</m:t>
        </m:r>
        <m:r>
          <m:t>m</m:t>
        </m:r>
        <m:r>
          <m:t>i</m:t>
        </m:r>
        <m:r>
          <m:t>l</m:t>
        </m:r>
        <m:r>
          <m:t>d</m:t>
        </m:r>
        <m:r>
          <m:t>e</m:t>
        </m:r>
        <m:r>
          <m:t>r</m:t>
        </m:r>
        <m:r>
          <m:rPr>
            <m:sty m:val="p"/>
          </m:rPr>
          <m:t>−</m:t>
        </m:r>
        <m:r>
          <m:t>t</m:t>
        </m:r>
        <m:r>
          <m:t>h</m:t>
        </m:r>
        <m:r>
          <m:t>a</m:t>
        </m:r>
        <m:r>
          <m:t>n</m:t>
        </m:r>
        <m:r>
          <m:rPr>
            <m:sty m:val="p"/>
          </m:rPr>
          <m:t>−</m:t>
        </m:r>
        <m:r>
          <m:t>a</m:t>
        </m:r>
        <m:r>
          <m:t>s</m:t>
        </m:r>
        <m:r>
          <m:t>s</m:t>
        </m:r>
        <m:r>
          <m:t>u</m:t>
        </m:r>
        <m:r>
          <m:t>m</m:t>
        </m:r>
        <m:r>
          <m:t>e</m:t>
        </m:r>
        <m:r>
          <m:t>d</m:t>
        </m:r>
        <m:r>
          <m:t>f</m:t>
        </m:r>
        <m:r>
          <m:t>l</m:t>
        </m:r>
        <m:r>
          <m:t>u</m:t>
        </m:r>
        <m:r>
          <m:t>s</m:t>
        </m:r>
        <m:r>
          <m:t>e</m:t>
        </m:r>
        <m:r>
          <m:t>a</m:t>
        </m:r>
        <m:r>
          <m:t>s</m:t>
        </m:r>
        <m:r>
          <m:t>o</m:t>
        </m:r>
        <m:r>
          <m:t>n</m:t>
        </m:r>
        <m:r>
          <m:t>c</m:t>
        </m:r>
        <m:r>
          <m:t>o</m:t>
        </m:r>
        <m:r>
          <m:t>n</m:t>
        </m:r>
        <m:r>
          <m:t>t</m:t>
        </m:r>
        <m:r>
          <m:t>r</m:t>
        </m:r>
        <m:r>
          <m:t>i</m:t>
        </m:r>
        <m:r>
          <m:t>b</m:t>
        </m:r>
        <m:r>
          <m:t>u</m:t>
        </m:r>
        <m:r>
          <m:t>t</m:t>
        </m:r>
        <m:r>
          <m:t>e</m:t>
        </m:r>
        <m:r>
          <m:t>d</m:t>
        </m:r>
        <m:r>
          <m:t>r</m:t>
        </m:r>
        <m:r>
          <m:t>o</m:t>
        </m:r>
        <m:r>
          <m:t>u</m:t>
        </m:r>
        <m:r>
          <m:t>g</m:t>
        </m:r>
        <m:r>
          <m:t>h</m:t>
        </m:r>
        <m:r>
          <m:t>l</m:t>
        </m:r>
        <m:r>
          <m:t>y</m:t>
        </m:r>
        <m:r>
          <m:rPr>
            <m:sty m:val="p"/>
          </m:rPr>
          <m:t>*</m:t>
        </m:r>
        <m:r>
          <m:rPr>
            <m:sty m:val="p"/>
          </m:rPr>
          <m:t>*</m:t>
        </m:r>
      </m:oMath>
      <w:r>
        <w:rPr>
          <w:b/>
          <w:bCs/>
        </w:rPr>
        <w:t xml:space="preserve">0.10/share</w:t>
      </w:r>
      <w:r>
        <w:t xml:space="preserve">, while the bronze-plan mix in ACA deferred some expected costs into the back half of the year.</w:t>
      </w:r>
    </w:p>
    <w:p>
      <w:pPr>
        <w:pStyle w:val="BodyText"/>
      </w:pPr>
      <w:r>
        <w:t xml:space="preserve">That sets up an important quality-of-earnings test for 2Q:</w:t>
      </w:r>
    </w:p>
    <w:p>
      <w:pPr>
        <w:pStyle w:val="Compact"/>
        <w:numPr>
          <w:ilvl w:val="0"/>
          <w:numId w:val="1001"/>
        </w:numPr>
      </w:pPr>
      <w:r>
        <w:rPr>
          <w:b/>
          <w:bCs/>
        </w:rPr>
        <w:t xml:space="preserve">Constructive outcome:</w:t>
      </w:r>
      <w:r>
        <w:t xml:space="preserve"> </w:t>
      </w:r>
      <w:r>
        <w:t xml:space="preserve">Benefit expense remains consistent with guidance, management reiterates that cost-control actions—payment integrity, utilization management, and site-of-care optimization—are producing recurring savings, and the company does not need to temper its full-year view.</w:t>
      </w:r>
    </w:p>
    <w:p>
      <w:pPr>
        <w:pStyle w:val="Compact"/>
        <w:numPr>
          <w:ilvl w:val="0"/>
          <w:numId w:val="1001"/>
        </w:numPr>
      </w:pPr>
      <w:r>
        <w:rPr>
          <w:b/>
          <w:bCs/>
        </w:rPr>
        <w:t xml:space="preserve">Less constructive outcome:</w:t>
      </w:r>
      <w:r>
        <w:t xml:space="preserve"> </w:t>
      </w:r>
      <w:r>
        <w:t xml:space="preserve">Management characterizes first-quarter favorability as mostly seasonal, reverses meaningfully in ACA or commercial utilization, or signals that trend is reaccelerating.</w:t>
      </w:r>
    </w:p>
    <w:p>
      <w:pPr>
        <w:pStyle w:val="FirstParagraph"/>
      </w:pPr>
      <w:r>
        <w:t xml:space="preserve">The key nuance: ELV does not need a lower medical-cost environment to support the guide. Management has said its outlook assumes a prudent trend backdrop, with operational actions expected to do much of the work. Investors should test whether that assertion still holds after another quarter of claims maturation.</w:t>
      </w:r>
    </w:p>
    <w:bookmarkEnd w:id="11"/>
    <w:bookmarkStart w:id="12" w:name="X4f9df2085c7ffdf02618f9002f169a157e3ac05"/>
    <w:p>
      <w:pPr>
        <w:pStyle w:val="Heading3"/>
      </w:pPr>
      <w:r>
        <w:t xml:space="preserve">2. Medicaid remains the central downside risk</w:t>
      </w:r>
    </w:p>
    <w:p>
      <w:pPr>
        <w:pStyle w:val="FirstParagraph"/>
      </w:pPr>
      <w:r>
        <w:t xml:space="preserve">Medicaid is expected to be ELV’s trough business in 2026. In 1Q, results were slightly better than management expected, but the company retained its forecast for an approximately</w:t>
      </w:r>
      <w:r>
        <w:t xml:space="preserve"> </w:t>
      </w:r>
      <w:r>
        <w:rPr>
          <w:b/>
          <w:bCs/>
        </w:rPr>
        <w:t xml:space="preserve">negative 1.75% full-year operating margin</w:t>
      </w:r>
      <w:r>
        <w:t xml:space="preserve">. Rates were described as near mid-single-digit increases, but still somewhat below the underlying medical-cost trend.</w:t>
      </w:r>
    </w:p>
    <w:p>
      <w:pPr>
        <w:pStyle w:val="BodyText"/>
      </w:pPr>
      <w:r>
        <w:t xml:space="preserve">For 2Q, watch for:</w:t>
      </w:r>
    </w:p>
    <w:p>
      <w:pPr>
        <w:pStyle w:val="Compact"/>
        <w:numPr>
          <w:ilvl w:val="0"/>
          <w:numId w:val="1002"/>
        </w:numPr>
      </w:pPr>
      <w:r>
        <w:t xml:space="preserve">July rate updates and progress closing the</w:t>
      </w:r>
      <w:r>
        <w:t xml:space="preserve"> </w:t>
      </w:r>
      <w:r>
        <w:rPr>
          <w:b/>
          <w:bCs/>
        </w:rPr>
        <w:t xml:space="preserve">rate-to-trend gap</w:t>
      </w:r>
      <w:r>
        <w:t xml:space="preserve">;</w:t>
      </w:r>
    </w:p>
    <w:p>
      <w:pPr>
        <w:pStyle w:val="Compact"/>
        <w:numPr>
          <w:ilvl w:val="0"/>
          <w:numId w:val="1002"/>
        </w:numPr>
      </w:pPr>
      <w:r>
        <w:t xml:space="preserve">membership losses from eligibility reverifications and their acuity mix;</w:t>
      </w:r>
    </w:p>
    <w:p>
      <w:pPr>
        <w:pStyle w:val="Compact"/>
        <w:numPr>
          <w:ilvl w:val="0"/>
          <w:numId w:val="1002"/>
        </w:numPr>
      </w:pPr>
      <w:r>
        <w:t xml:space="preserve">evidence that behavioral-health, specialty-pharmacy, and ABA-management initiatives are reducing utilization;</w:t>
      </w:r>
    </w:p>
    <w:p>
      <w:pPr>
        <w:pStyle w:val="Compact"/>
        <w:numPr>
          <w:ilvl w:val="0"/>
          <w:numId w:val="1002"/>
        </w:numPr>
      </w:pPr>
      <w:r>
        <w:t xml:space="preserve">any indication that state-level profitability is deteriorating enough to require portfolio action.</w:t>
      </w:r>
    </w:p>
    <w:p>
      <w:pPr>
        <w:pStyle w:val="FirstParagraph"/>
      </w:pPr>
      <w:r>
        <w:t xml:space="preserve">Management has framed 2026 as the Medicaid margin trough, with improved state rate alignment expected in 2027. That makes 2Q commentary on rate negotiations and the timing of membership attrition potentially more important than the absolute quarterly result.</w:t>
      </w:r>
    </w:p>
    <w:bookmarkEnd w:id="12"/>
    <w:bookmarkStart w:id="13" w:name="X181cc40491c7365754e2c5f5a903d7ea8c8a800"/>
    <w:p>
      <w:pPr>
        <w:pStyle w:val="Heading3"/>
      </w:pPr>
      <w:r>
        <w:t xml:space="preserve">3. Medicare Advantage: the turnaround must remain intact</w:t>
      </w:r>
    </w:p>
    <w:p>
      <w:pPr>
        <w:pStyle w:val="FirstParagraph"/>
      </w:pPr>
      <w:r>
        <w:t xml:space="preserve">ELV deliberately shrank and repositioned its Medicare Advantage portfolio; MA membership was down</w:t>
      </w:r>
      <w:r>
        <w:t xml:space="preserve"> </w:t>
      </w:r>
      <w:r>
        <w:rPr>
          <w:b/>
          <w:bCs/>
        </w:rPr>
        <w:t xml:space="preserve">15.8% year over year</w:t>
      </w:r>
      <w:r>
        <w:t xml:space="preserve"> </w:t>
      </w:r>
      <w:r>
        <w:t xml:space="preserve">at the end of 1Q. The trade-off is lower membership in exchange for improved margin quality, and management is targeting at least a</w:t>
      </w:r>
      <w:r>
        <w:t xml:space="preserve"> </w:t>
      </w:r>
      <w:r>
        <w:rPr>
          <w:b/>
          <w:bCs/>
        </w:rPr>
        <w:t xml:space="preserve">2% MA operating margin in 2026</w:t>
      </w:r>
      <w:r>
        <w:t xml:space="preserve">.</w:t>
      </w:r>
    </w:p>
    <w:p>
      <w:pPr>
        <w:pStyle w:val="BodyText"/>
      </w:pPr>
      <w:r>
        <w:t xml:space="preserve">The 2Q call should address whether:</w:t>
      </w:r>
    </w:p>
    <w:p>
      <w:pPr>
        <w:pStyle w:val="Compact"/>
        <w:numPr>
          <w:ilvl w:val="0"/>
          <w:numId w:val="1003"/>
        </w:numPr>
      </w:pPr>
      <w:r>
        <w:t xml:space="preserve">the expected margin improvement is tracking as planned;</w:t>
      </w:r>
    </w:p>
    <w:p>
      <w:pPr>
        <w:pStyle w:val="Compact"/>
        <w:numPr>
          <w:ilvl w:val="0"/>
          <w:numId w:val="1003"/>
        </w:numPr>
      </w:pPr>
      <w:r>
        <w:t xml:space="preserve">utilization trends remain favorable;</w:t>
      </w:r>
    </w:p>
    <w:p>
      <w:pPr>
        <w:pStyle w:val="Compact"/>
        <w:numPr>
          <w:ilvl w:val="0"/>
          <w:numId w:val="1003"/>
        </w:numPr>
      </w:pPr>
      <w:r>
        <w:t xml:space="preserve">2027 bid decisions preserve pricing and benefit discipline;</w:t>
      </w:r>
    </w:p>
    <w:p>
      <w:pPr>
        <w:pStyle w:val="Compact"/>
        <w:numPr>
          <w:ilvl w:val="0"/>
          <w:numId w:val="1003"/>
        </w:numPr>
      </w:pPr>
      <w:r>
        <w:t xml:space="preserve">the final 2027 CMS rates provide sufficient support for future economics.</w:t>
      </w:r>
    </w:p>
    <w:p>
      <w:pPr>
        <w:pStyle w:val="FirstParagraph"/>
      </w:pPr>
      <w:r>
        <w:t xml:space="preserve">A maintained or improved MA margin outlook would reinforce the thesis that ELV has made the necessary portfolio decisions after the sector’s recent margin pressure. Any backtracking would be particularly problematic given the stock’s recovery.</w:t>
      </w:r>
    </w:p>
    <w:bookmarkEnd w:id="13"/>
    <w:bookmarkStart w:id="14" w:name="X15c034c75af27eab1d536507fc2f54391ea116d"/>
    <w:p>
      <w:pPr>
        <w:pStyle w:val="Heading3"/>
      </w:pPr>
      <w:r>
        <w:t xml:space="preserve">4. ACA strength is helpful—but investors should treat it as seasonal</w:t>
      </w:r>
    </w:p>
    <w:p>
      <w:pPr>
        <w:pStyle w:val="FirstParagraph"/>
      </w:pPr>
      <w:r>
        <w:t xml:space="preserve">Individual ACA enrollment ended 1Q at</w:t>
      </w:r>
      <w:r>
        <w:t xml:space="preserve"> </w:t>
      </w:r>
      <w:r>
        <w:rPr>
          <w:b/>
          <w:bCs/>
        </w:rPr>
        <w:t xml:space="preserve">1.424 million</w:t>
      </w:r>
      <w:r>
        <w:t xml:space="preserve">, and management said it expected approximately</w:t>
      </w:r>
      <w:r>
        <w:t xml:space="preserve"> </w:t>
      </w:r>
      <w:r>
        <w:rPr>
          <w:b/>
          <w:bCs/>
        </w:rPr>
        <w:t xml:space="preserve">1.2 million members at the end of 2Q</w:t>
      </w:r>
      <w:r>
        <w:t xml:space="preserve">, ahead of its initial view. Higher bronze-plan enrollment helped first-quarter earnings because those plan designs defer more member costs into later periods.</w:t>
      </w:r>
    </w:p>
    <w:p>
      <w:pPr>
        <w:pStyle w:val="BodyText"/>
      </w:pPr>
      <w:r>
        <w:t xml:space="preserve">The issue for investors is not simply enrollment growth; it is</w:t>
      </w:r>
      <w:r>
        <w:t xml:space="preserve"> </w:t>
      </w:r>
      <w:r>
        <w:rPr>
          <w:b/>
          <w:bCs/>
        </w:rPr>
        <w:t xml:space="preserve">risk-pool quality and margin emergence</w:t>
      </w:r>
      <w:r>
        <w:t xml:space="preserve">:</w:t>
      </w:r>
    </w:p>
    <w:p>
      <w:pPr>
        <w:pStyle w:val="Compact"/>
        <w:numPr>
          <w:ilvl w:val="0"/>
          <w:numId w:val="1004"/>
        </w:numPr>
      </w:pPr>
      <w:r>
        <w:t xml:space="preserve">Is retention holding better than anticipated?</w:t>
      </w:r>
    </w:p>
    <w:p>
      <w:pPr>
        <w:pStyle w:val="Compact"/>
        <w:numPr>
          <w:ilvl w:val="0"/>
          <w:numId w:val="1004"/>
        </w:numPr>
      </w:pPr>
      <w:r>
        <w:t xml:space="preserve">Does the bronze mix continue to be economically favorable?</w:t>
      </w:r>
    </w:p>
    <w:p>
      <w:pPr>
        <w:pStyle w:val="Compact"/>
        <w:numPr>
          <w:ilvl w:val="0"/>
          <w:numId w:val="1004"/>
        </w:numPr>
      </w:pPr>
      <w:r>
        <w:t xml:space="preserve">Are claims and risk-adjustment dynamics tracking ELV’s pricing assumptions?</w:t>
      </w:r>
    </w:p>
    <w:p>
      <w:pPr>
        <w:pStyle w:val="Compact"/>
        <w:numPr>
          <w:ilvl w:val="0"/>
          <w:numId w:val="1004"/>
        </w:numPr>
      </w:pPr>
      <w:r>
        <w:t xml:space="preserve">Does management maintain its full-year outlook for at least 900,000 ACA members?</w:t>
      </w:r>
    </w:p>
    <w:p>
      <w:pPr>
        <w:pStyle w:val="FirstParagraph"/>
      </w:pPr>
      <w:r>
        <w:t xml:space="preserve">A healthy ACA update supports premium stability and commercial growth. But it should not be mistaken for a permanent first-half margin tailwind.</w:t>
      </w:r>
    </w:p>
    <w:bookmarkEnd w:id="14"/>
    <w:bookmarkStart w:id="15" w:name="Xf8d52eec859d6842b295c65802966403a48d229"/>
    <w:p>
      <w:pPr>
        <w:pStyle w:val="Heading3"/>
      </w:pPr>
      <w:r>
        <w:t xml:space="preserve">5. Carelon must begin translating growth into margin</w:t>
      </w:r>
    </w:p>
    <w:p>
      <w:pPr>
        <w:pStyle w:val="FirstParagraph"/>
      </w:pPr>
      <w:r>
        <w:t xml:space="preserve">Carelon revenue grew</w:t>
      </w:r>
      <w:r>
        <w:t xml:space="preserve"> </w:t>
      </w:r>
      <w:r>
        <w:rPr>
          <w:b/>
          <w:bCs/>
        </w:rPr>
        <w:t xml:space="preserve">7.9% year over year</w:t>
      </w:r>
      <w:r>
        <w:t xml:space="preserve"> </w:t>
      </w:r>
      <w:r>
        <w:t xml:space="preserve">in 1Q, led by Carelon Services risk-based solutions and CarelonRx product revenue. Yet combined Carelon operating gain declined modestly, reflecting lower affiliated plan membership and investment in risk-based capabilities.</w:t>
      </w:r>
    </w:p>
    <w:p>
      <w:pPr>
        <w:pStyle w:val="BodyText"/>
      </w:pPr>
      <w:r>
        <w:t xml:space="preserve">The long-term narrative remains attractive: integrated medical, pharmacy, behavioral health, home care, and clinical services could differentiate ELV in commercial selling and reduce total medical costs. However, 2Q should show whether the company can move from</w:t>
      </w:r>
      <w:r>
        <w:t xml:space="preserve"> </w:t>
      </w:r>
      <w:r>
        <w:rPr>
          <w:b/>
          <w:bCs/>
        </w:rPr>
        <w:t xml:space="preserve">revenue growth and investment</w:t>
      </w:r>
      <w:r>
        <w:t xml:space="preserve"> </w:t>
      </w:r>
      <w:r>
        <w:t xml:space="preserve">toward</w:t>
      </w:r>
      <w:r>
        <w:t xml:space="preserve"> </w:t>
      </w:r>
      <w:r>
        <w:rPr>
          <w:b/>
          <w:bCs/>
        </w:rPr>
        <w:t xml:space="preserve">incremental margin conversion</w:t>
      </w:r>
      <w:r>
        <w:t xml:space="preserve">.</w:t>
      </w:r>
    </w:p>
    <w:p>
      <w:pPr>
        <w:pStyle w:val="BodyText"/>
      </w:pPr>
      <w:r>
        <w:t xml:space="preserve">Key items to watch:</w:t>
      </w:r>
    </w:p>
    <w:p>
      <w:pPr>
        <w:pStyle w:val="Compact"/>
        <w:numPr>
          <w:ilvl w:val="0"/>
          <w:numId w:val="1005"/>
        </w:numPr>
      </w:pPr>
      <w:r>
        <w:t xml:space="preserve">CarelonRx’s ability to maintain its targeted mid-5% margin range;</w:t>
      </w:r>
    </w:p>
    <w:p>
      <w:pPr>
        <w:pStyle w:val="Compact"/>
        <w:numPr>
          <w:ilvl w:val="0"/>
          <w:numId w:val="1005"/>
        </w:numPr>
      </w:pPr>
      <w:r>
        <w:t xml:space="preserve">specialty pharmacy and home-delivery profitability;</w:t>
      </w:r>
    </w:p>
    <w:p>
      <w:pPr>
        <w:pStyle w:val="Compact"/>
        <w:numPr>
          <w:ilvl w:val="0"/>
          <w:numId w:val="1005"/>
        </w:numPr>
      </w:pPr>
      <w:r>
        <w:t xml:space="preserve">adoption and early savings from CareBridge and other risk-based care-management programs;</w:t>
      </w:r>
    </w:p>
    <w:p>
      <w:pPr>
        <w:pStyle w:val="Compact"/>
        <w:numPr>
          <w:ilvl w:val="0"/>
          <w:numId w:val="1005"/>
        </w:numPr>
      </w:pPr>
      <w:r>
        <w:t xml:space="preserve">external commercial and PBM sales traction;</w:t>
      </w:r>
    </w:p>
    <w:p>
      <w:pPr>
        <w:pStyle w:val="Compact"/>
        <w:numPr>
          <w:ilvl w:val="0"/>
          <w:numId w:val="1005"/>
        </w:numPr>
      </w:pPr>
      <w:r>
        <w:t xml:space="preserve">whether lower health-plan membership continues to dilute Carelon’s internal volume base.</w:t>
      </w:r>
    </w:p>
    <w:bookmarkEnd w:id="15"/>
    <w:bookmarkEnd w:id="16"/>
    <w:bookmarkStart w:id="17" w:name="X697b2b2c25f4be9220ecca268cb2fb5254b0d69"/>
    <w:p>
      <w:pPr>
        <w:pStyle w:val="Heading2"/>
      </w:pPr>
      <w:r>
        <w:t xml:space="preserve">CMS risk-adjustment matter: the key non-operating overhang</w:t>
      </w:r>
    </w:p>
    <w:p>
      <w:pPr>
        <w:pStyle w:val="FirstParagraph"/>
      </w:pPr>
      <w:r>
        <w:t xml:space="preserve">The largest discrete uncertainty is the CMS notice related to historical Medicare Advantage risk-adjustment data. ELV recorded a</w:t>
      </w:r>
      <w:r>
        <w:t xml:space="preserve"> </w:t>
      </w:r>
      <m:oMath>
        <m:r>
          <m:t>935</m:t>
        </m:r>
        <m:r>
          <m:t>m</m:t>
        </m:r>
        <m:r>
          <m:t>i</m:t>
        </m:r>
        <m:r>
          <m:t>l</m:t>
        </m:r>
        <m:r>
          <m:t>l</m:t>
        </m:r>
        <m:r>
          <m:t>i</m:t>
        </m:r>
        <m:r>
          <m:t>o</m:t>
        </m:r>
        <m:r>
          <m:t>n</m:t>
        </m:r>
        <m:r>
          <m:t>a</m:t>
        </m:r>
        <m:r>
          <m:t>c</m:t>
        </m:r>
        <m:r>
          <m:t>c</m:t>
        </m:r>
        <m:r>
          <m:t>r</m:t>
        </m:r>
        <m:r>
          <m:t>u</m:t>
        </m:r>
        <m:r>
          <m:t>a</m:t>
        </m:r>
        <m:r>
          <m:t>l</m:t>
        </m:r>
        <m:r>
          <m:rPr>
            <m:sty m:val="p"/>
          </m:rPr>
          <m:t>*</m:t>
        </m:r>
        <m:r>
          <m:rPr>
            <m:sty m:val="p"/>
          </m:rPr>
          <m:t>*</m:t>
        </m:r>
        <m:r>
          <m:t>i</m:t>
        </m:r>
        <m:r>
          <m:t>n</m:t>
        </m:r>
        <m:r>
          <m:t>1</m:t>
        </m:r>
        <m:r>
          <m:t>Q</m:t>
        </m:r>
        <m:r>
          <m:rPr>
            <m:sty m:val="p"/>
          </m:rPr>
          <m:t>,</m:t>
        </m:r>
        <m:r>
          <m:t>o</m:t>
        </m:r>
        <m:r>
          <m:t>r</m:t>
        </m:r>
        <m:r>
          <m:rPr>
            <m:sty m:val="p"/>
          </m:rPr>
          <m:t>*</m:t>
        </m:r>
        <m:r>
          <m:rPr>
            <m:sty m:val="p"/>
          </m:rPr>
          <m:t>*</m:t>
        </m:r>
      </m:oMath>
      <w:r>
        <w:rPr>
          <w:b/>
          <w:bCs/>
        </w:rPr>
        <w:t xml:space="preserve">4.24 per share</w:t>
      </w:r>
      <w:r>
        <w:t xml:space="preserve">, for its current estimate of potential exposure related to data from 2015 through April 2, 2023.</w:t>
      </w:r>
    </w:p>
    <w:p>
      <w:pPr>
        <w:pStyle w:val="BodyText"/>
      </w:pPr>
      <w:r>
        <w:t xml:space="preserve">The company has until</w:t>
      </w:r>
      <w:r>
        <w:t xml:space="preserve"> </w:t>
      </w:r>
      <w:r>
        <w:rPr>
          <w:b/>
          <w:bCs/>
        </w:rPr>
        <w:t xml:space="preserve">July 31, 2026</w:t>
      </w:r>
      <w:r>
        <w:t xml:space="preserve"> </w:t>
      </w:r>
      <w:r>
        <w:t xml:space="preserve">to complete CMS-required compliance steps intended to avoid intermediate sanctions, according to its 1Q filing. ELV stated that the ultimate liability could range from approximately</w:t>
      </w:r>
      <w:r>
        <w:t xml:space="preserve"> </w:t>
      </w:r>
      <m:oMath>
        <m:r>
          <m:t>585</m:t>
        </m:r>
        <m:r>
          <m:t>m</m:t>
        </m:r>
        <m:r>
          <m:t>i</m:t>
        </m:r>
        <m:r>
          <m:t>l</m:t>
        </m:r>
        <m:r>
          <m:t>l</m:t>
        </m:r>
        <m:r>
          <m:t>i</m:t>
        </m:r>
        <m:r>
          <m:t>o</m:t>
        </m:r>
        <m:r>
          <m:t>n</m:t>
        </m:r>
        <m:r>
          <m:t>b</m:t>
        </m:r>
        <m:r>
          <m:t>e</m:t>
        </m:r>
        <m:r>
          <m:t>l</m:t>
        </m:r>
        <m:r>
          <m:t>o</m:t>
        </m:r>
        <m:r>
          <m:t>w</m:t>
        </m:r>
        <m:r>
          <m:rPr>
            <m:sty m:val="p"/>
          </m:rPr>
          <m:t>*</m:t>
        </m:r>
        <m:r>
          <m:rPr>
            <m:sty m:val="p"/>
          </m:rPr>
          <m:t>*</m:t>
        </m:r>
        <m:r>
          <m:t>t</m:t>
        </m:r>
        <m:r>
          <m:t>h</m:t>
        </m:r>
        <m:r>
          <m:t>e</m:t>
        </m:r>
        <m:r>
          <m:t>r</m:t>
        </m:r>
        <m:r>
          <m:t>e</m:t>
        </m:r>
        <m:r>
          <m:t>c</m:t>
        </m:r>
        <m:r>
          <m:t>o</m:t>
        </m:r>
        <m:r>
          <m:t>r</m:t>
        </m:r>
        <m:r>
          <m:t>d</m:t>
        </m:r>
        <m:r>
          <m:t>e</m:t>
        </m:r>
        <m:r>
          <m:t>d</m:t>
        </m:r>
        <m:r>
          <m:t>a</m:t>
        </m:r>
        <m:r>
          <m:t>c</m:t>
        </m:r>
        <m:r>
          <m:t>c</m:t>
        </m:r>
        <m:r>
          <m:t>r</m:t>
        </m:r>
        <m:r>
          <m:t>u</m:t>
        </m:r>
        <m:r>
          <m:t>a</m:t>
        </m:r>
        <m:r>
          <m:t>l</m:t>
        </m:r>
        <m:r>
          <m:t>t</m:t>
        </m:r>
        <m:r>
          <m:t>o</m:t>
        </m:r>
        <m:r>
          <m:rPr>
            <m:sty m:val="p"/>
          </m:rPr>
          <m:t>*</m:t>
        </m:r>
        <m:r>
          <m:rPr>
            <m:sty m:val="p"/>
          </m:rPr>
          <m:t>*</m:t>
        </m:r>
      </m:oMath>
      <w:r>
        <w:rPr>
          <w:b/>
          <w:bCs/>
        </w:rPr>
        <w:t xml:space="preserve">565 million above</w:t>
      </w:r>
      <w:r>
        <w:t xml:space="preserve"> </w:t>
      </w:r>
      <w:r>
        <w:t xml:space="preserve">it.</w:t>
      </w:r>
    </w:p>
    <w:p>
      <w:pPr>
        <w:pStyle w:val="BodyText"/>
      </w:pPr>
      <w:r>
        <w:t xml:space="preserve">For the 2Q call, investors should look for:</w:t>
      </w:r>
    </w:p>
    <w:p>
      <w:pPr>
        <w:pStyle w:val="Compact"/>
        <w:numPr>
          <w:ilvl w:val="0"/>
          <w:numId w:val="1006"/>
        </w:numPr>
      </w:pPr>
      <w:r>
        <w:t xml:space="preserve">Confirmation that required submissions and remediation actions are on track ahead of July 31;</w:t>
      </w:r>
    </w:p>
    <w:p>
      <w:pPr>
        <w:pStyle w:val="Compact"/>
        <w:numPr>
          <w:ilvl w:val="0"/>
          <w:numId w:val="1006"/>
        </w:numPr>
      </w:pPr>
      <w:r>
        <w:t xml:space="preserve">Any update to the $935 million accrual or estimated range of exposure;</w:t>
      </w:r>
    </w:p>
    <w:p>
      <w:pPr>
        <w:pStyle w:val="Compact"/>
        <w:numPr>
          <w:ilvl w:val="0"/>
          <w:numId w:val="1006"/>
        </w:numPr>
      </w:pPr>
      <w:r>
        <w:t xml:space="preserve">Commentary on whether potential cash payments remain incorporated in the at-least-$5.5 billion operating-cash-flow target;</w:t>
      </w:r>
    </w:p>
    <w:p>
      <w:pPr>
        <w:pStyle w:val="Compact"/>
        <w:numPr>
          <w:ilvl w:val="0"/>
          <w:numId w:val="1006"/>
        </w:numPr>
      </w:pPr>
      <w:r>
        <w:t xml:space="preserve">Clear separation between this historical matter and the company’s current risk-adjustment processes.</w:t>
      </w:r>
    </w:p>
    <w:p>
      <w:pPr>
        <w:pStyle w:val="FirstParagraph"/>
      </w:pPr>
      <w:r>
        <w:t xml:space="preserve">A positive procedural update could remove an important valuation overhang. Conversely, ambiguity, a higher accrual, or a suggestion that sanctions remain possible would likely overshadow an otherwise solid operational quarter.</w:t>
      </w:r>
    </w:p>
    <w:bookmarkEnd w:id="17"/>
    <w:bookmarkStart w:id="18" w:name="valuation-and-expectations"/>
    <w:p>
      <w:pPr>
        <w:pStyle w:val="Heading2"/>
      </w:pPr>
      <w:r>
        <w:t xml:space="preserve">Valuation and expectations</w:t>
      </w:r>
    </w:p>
    <w:p>
      <w:pPr>
        <w:pStyle w:val="FirstParagraph"/>
      </w:pPr>
      <w:r>
        <w:t xml:space="preserve">At the July 14 close of</w:t>
      </w:r>
      <w:r>
        <w:t xml:space="preserve"> </w:t>
      </w:r>
      <w:r>
        <w:rPr>
          <w:b/>
          <w:bCs/>
        </w:rPr>
        <w:t xml:space="preserve">$426.83</w:t>
      </w:r>
      <w:r>
        <w:t xml:space="preserve">, ELV trades at roughly</w:t>
      </w:r>
      <w:r>
        <w:t xml:space="preserve"> </w:t>
      </w:r>
      <w:r>
        <w:rPr>
          <w:b/>
          <w:bCs/>
        </w:rPr>
        <w:t xml:space="preserve">16.6x</w:t>
      </w:r>
      <w:r>
        <w:t xml:space="preserve"> </w:t>
      </w:r>
      <w:r>
        <w:t xml:space="preserve">the company’s stated $25.75 normalized 2026 earnings baseline used for its 2027 growth framework. That is not an excessive multiple for a company capable of returning to double-digit EPS growth, but it does leave less room for execution mistakes than was the case earlier in the year.</w:t>
      </w:r>
    </w:p>
    <w:p>
      <w:pPr>
        <w:pStyle w:val="BodyText"/>
      </w:pPr>
      <w:r>
        <w:t xml:space="preserve">The market’s likely focus is therefore:</w:t>
      </w:r>
    </w:p>
    <w:p>
      <w:pPr>
        <w:pStyle w:val="Compact"/>
        <w:numPr>
          <w:ilvl w:val="0"/>
          <w:numId w:val="1007"/>
        </w:numPr>
      </w:pPr>
      <w:r>
        <w:rPr>
          <w:b/>
          <w:bCs/>
        </w:rPr>
        <w:t xml:space="preserve">Can ELV defend the $26.75 2026 adjusted EPS floor?</w:t>
      </w:r>
    </w:p>
    <w:p>
      <w:pPr>
        <w:pStyle w:val="Compact"/>
        <w:numPr>
          <w:ilvl w:val="0"/>
          <w:numId w:val="1007"/>
        </w:numPr>
      </w:pPr>
      <w:r>
        <w:rPr>
          <w:b/>
          <w:bCs/>
        </w:rPr>
        <w:t xml:space="preserve">Can it maintain the 2027 ≥12% adjusted EPS growth objective?</w:t>
      </w:r>
    </w:p>
    <w:p>
      <w:pPr>
        <w:pStyle w:val="Compact"/>
        <w:numPr>
          <w:ilvl w:val="0"/>
          <w:numId w:val="1007"/>
        </w:numPr>
      </w:pPr>
      <w:r>
        <w:rPr>
          <w:b/>
          <w:bCs/>
        </w:rPr>
        <w:t xml:space="preserve">Are Medicaid losses bottoming while MA margins recover?</w:t>
      </w:r>
    </w:p>
    <w:p>
      <w:pPr>
        <w:pStyle w:val="Compact"/>
        <w:numPr>
          <w:ilvl w:val="0"/>
          <w:numId w:val="1007"/>
        </w:numPr>
      </w:pPr>
      <w:r>
        <w:rPr>
          <w:b/>
          <w:bCs/>
        </w:rPr>
        <w:t xml:space="preserve">Is the CMS matter progressing toward a contained resolution?</w:t>
      </w:r>
    </w:p>
    <w:p>
      <w:pPr>
        <w:pStyle w:val="Compact"/>
        <w:numPr>
          <w:ilvl w:val="0"/>
          <w:numId w:val="1007"/>
        </w:numPr>
      </w:pPr>
      <w:r>
        <w:rPr>
          <w:b/>
          <w:bCs/>
        </w:rPr>
        <w:t xml:space="preserve">Can Carelon become a more visible earnings contributor rather than primarily an investment and revenue-growth story?</w:t>
      </w:r>
    </w:p>
    <w:bookmarkEnd w:id="18"/>
    <w:bookmarkStart w:id="22" w:name="earnings-scenarios"/>
    <w:p>
      <w:pPr>
        <w:pStyle w:val="Heading2"/>
      </w:pPr>
      <w:r>
        <w:t xml:space="preserve">Earnings scenarios</w:t>
      </w:r>
    </w:p>
    <w:bookmarkStart w:id="19" w:name="bull-case"/>
    <w:p>
      <w:pPr>
        <w:pStyle w:val="Heading3"/>
      </w:pPr>
      <w:r>
        <w:t xml:space="preserve">Bull case</w:t>
      </w:r>
    </w:p>
    <w:p>
      <w:pPr>
        <w:pStyle w:val="Compact"/>
        <w:numPr>
          <w:ilvl w:val="0"/>
          <w:numId w:val="1008"/>
        </w:numPr>
      </w:pPr>
      <w:r>
        <w:t xml:space="preserve">Adjusted EPS exceeds the implied quarterly framework;</w:t>
      </w:r>
    </w:p>
    <w:p>
      <w:pPr>
        <w:pStyle w:val="Compact"/>
        <w:numPr>
          <w:ilvl w:val="0"/>
          <w:numId w:val="1008"/>
        </w:numPr>
      </w:pPr>
      <w:r>
        <w:t xml:space="preserve">full-year guidance is maintained or raised;</w:t>
      </w:r>
    </w:p>
    <w:p>
      <w:pPr>
        <w:pStyle w:val="Compact"/>
        <w:numPr>
          <w:ilvl w:val="0"/>
          <w:numId w:val="1008"/>
        </w:numPr>
      </w:pPr>
      <w:r>
        <w:t xml:space="preserve">medical-cost trend remains manageable across commercial and MA;</w:t>
      </w:r>
    </w:p>
    <w:p>
      <w:pPr>
        <w:pStyle w:val="Compact"/>
        <w:numPr>
          <w:ilvl w:val="0"/>
          <w:numId w:val="1008"/>
        </w:numPr>
      </w:pPr>
      <w:r>
        <w:t xml:space="preserve">Medicaid rates or cost initiatives show incremental improvement;</w:t>
      </w:r>
    </w:p>
    <w:p>
      <w:pPr>
        <w:pStyle w:val="Compact"/>
        <w:numPr>
          <w:ilvl w:val="0"/>
          <w:numId w:val="1008"/>
        </w:numPr>
      </w:pPr>
      <w:r>
        <w:t xml:space="preserve">CMS process is described as on track for resolution before the July 31 deadline;</w:t>
      </w:r>
    </w:p>
    <w:p>
      <w:pPr>
        <w:pStyle w:val="Compact"/>
        <w:numPr>
          <w:ilvl w:val="0"/>
          <w:numId w:val="1008"/>
        </w:numPr>
      </w:pPr>
      <w:r>
        <w:t xml:space="preserve">Carelon margins show evidence of improving as investments scale.</w:t>
      </w:r>
    </w:p>
    <w:bookmarkEnd w:id="19"/>
    <w:bookmarkStart w:id="20" w:name="base-case"/>
    <w:p>
      <w:pPr>
        <w:pStyle w:val="Heading3"/>
      </w:pPr>
      <w:r>
        <w:t xml:space="preserve">Base case</w:t>
      </w:r>
    </w:p>
    <w:p>
      <w:pPr>
        <w:pStyle w:val="Compact"/>
        <w:numPr>
          <w:ilvl w:val="0"/>
          <w:numId w:val="1009"/>
        </w:numPr>
      </w:pPr>
      <w:r>
        <w:t xml:space="preserve">Results are broadly consistent with the roughly $6.15 implied 2Q adjusted-EPS cadence;</w:t>
      </w:r>
    </w:p>
    <w:p>
      <w:pPr>
        <w:pStyle w:val="Compact"/>
        <w:numPr>
          <w:ilvl w:val="0"/>
          <w:numId w:val="1009"/>
        </w:numPr>
      </w:pPr>
      <w:r>
        <w:t xml:space="preserve">full-year guidance is reiterated;</w:t>
      </w:r>
    </w:p>
    <w:p>
      <w:pPr>
        <w:pStyle w:val="Compact"/>
        <w:numPr>
          <w:ilvl w:val="0"/>
          <w:numId w:val="1009"/>
        </w:numPr>
      </w:pPr>
      <w:r>
        <w:t xml:space="preserve">management emphasizes normal ACA seasonality and back-half cost progression;</w:t>
      </w:r>
    </w:p>
    <w:p>
      <w:pPr>
        <w:pStyle w:val="Compact"/>
        <w:numPr>
          <w:ilvl w:val="0"/>
          <w:numId w:val="1009"/>
        </w:numPr>
      </w:pPr>
      <w:r>
        <w:t xml:space="preserve">Medicaid remains pressured but within the existing loss-margin framework;</w:t>
      </w:r>
    </w:p>
    <w:p>
      <w:pPr>
        <w:pStyle w:val="Compact"/>
        <w:numPr>
          <w:ilvl w:val="0"/>
          <w:numId w:val="1009"/>
        </w:numPr>
      </w:pPr>
      <w:r>
        <w:t xml:space="preserve">CMS commentary is procedural rather than financial.</w:t>
      </w:r>
    </w:p>
    <w:bookmarkEnd w:id="20"/>
    <w:bookmarkStart w:id="21" w:name="bear-case"/>
    <w:p>
      <w:pPr>
        <w:pStyle w:val="Heading3"/>
      </w:pPr>
      <w:r>
        <w:t xml:space="preserve">Bear case</w:t>
      </w:r>
    </w:p>
    <w:p>
      <w:pPr>
        <w:pStyle w:val="Compact"/>
        <w:numPr>
          <w:ilvl w:val="0"/>
          <w:numId w:val="1010"/>
        </w:numPr>
      </w:pPr>
      <w:r>
        <w:t xml:space="preserve">Claims costs worsen, especially in ACA, Medicaid, or commercial;</w:t>
      </w:r>
    </w:p>
    <w:p>
      <w:pPr>
        <w:pStyle w:val="Compact"/>
        <w:numPr>
          <w:ilvl w:val="0"/>
          <w:numId w:val="1010"/>
        </w:numPr>
      </w:pPr>
      <w:r>
        <w:t xml:space="preserve">management cites less favorable utilization, inadequate Medicaid pricing, or an unfavorable membership acuity mix;</w:t>
      </w:r>
    </w:p>
    <w:p>
      <w:pPr>
        <w:pStyle w:val="Compact"/>
        <w:numPr>
          <w:ilvl w:val="0"/>
          <w:numId w:val="1010"/>
        </w:numPr>
      </w:pPr>
      <w:r>
        <w:t xml:space="preserve">full-year guidance is merely maintained with a more cautious tone—or reduced;</w:t>
      </w:r>
    </w:p>
    <w:p>
      <w:pPr>
        <w:pStyle w:val="Compact"/>
        <w:numPr>
          <w:ilvl w:val="0"/>
          <w:numId w:val="1010"/>
        </w:numPr>
      </w:pPr>
      <w:r>
        <w:t xml:space="preserve">CMS accrual or timing uncertainty increases;</w:t>
      </w:r>
    </w:p>
    <w:p>
      <w:pPr>
        <w:pStyle w:val="Compact"/>
        <w:numPr>
          <w:ilvl w:val="0"/>
          <w:numId w:val="1010"/>
        </w:numPr>
      </w:pPr>
      <w:r>
        <w:t xml:space="preserve">Carelon growth continues without enough margin support.</w:t>
      </w:r>
    </w:p>
    <w:bookmarkEnd w:id="21"/>
    <w:bookmarkEnd w:id="22"/>
    <w:bookmarkStart w:id="23" w:name="questions-for-management"/>
    <w:p>
      <w:pPr>
        <w:pStyle w:val="Heading2"/>
      </w:pPr>
      <w:r>
        <w:t xml:space="preserve">Questions for management</w:t>
      </w:r>
    </w:p>
    <w:p>
      <w:pPr>
        <w:pStyle w:val="Compact"/>
        <w:numPr>
          <w:ilvl w:val="0"/>
          <w:numId w:val="1011"/>
        </w:numPr>
      </w:pPr>
      <w:r>
        <w:rPr>
          <w:b/>
          <w:bCs/>
        </w:rPr>
        <w:t xml:space="preserve">Medical trend:</w:t>
      </w:r>
      <w:r>
        <w:t xml:space="preserve"> </w:t>
      </w:r>
      <w:r>
        <w:t xml:space="preserve">How much of 1Q claims favorability has persisted through 2Q, and how much was attributable to flu, timing, or ACA mix?</w:t>
      </w:r>
    </w:p>
    <w:p>
      <w:pPr>
        <w:pStyle w:val="Compact"/>
        <w:numPr>
          <w:ilvl w:val="0"/>
          <w:numId w:val="1011"/>
        </w:numPr>
      </w:pPr>
      <w:r>
        <w:rPr>
          <w:b/>
          <w:bCs/>
        </w:rPr>
        <w:t xml:space="preserve">ACA:</w:t>
      </w:r>
      <w:r>
        <w:t xml:space="preserve"> </w:t>
      </w:r>
      <w:r>
        <w:t xml:space="preserve">Is bronze-plan enrollment still favorable economically after considering claims emergence, risk adjustment, and retention?</w:t>
      </w:r>
    </w:p>
    <w:p>
      <w:pPr>
        <w:pStyle w:val="Compact"/>
        <w:numPr>
          <w:ilvl w:val="0"/>
          <w:numId w:val="1011"/>
        </w:numPr>
      </w:pPr>
      <w:r>
        <w:rPr>
          <w:b/>
          <w:bCs/>
        </w:rPr>
        <w:t xml:space="preserve">Medicaid:</w:t>
      </w:r>
      <w:r>
        <w:t xml:space="preserve"> </w:t>
      </w:r>
      <w:r>
        <w:t xml:space="preserve">What are the most meaningful July rate developments, and is the business still on track for a 2026 margin trough?</w:t>
      </w:r>
    </w:p>
    <w:p>
      <w:pPr>
        <w:pStyle w:val="Compact"/>
        <w:numPr>
          <w:ilvl w:val="0"/>
          <w:numId w:val="1011"/>
        </w:numPr>
      </w:pPr>
      <w:r>
        <w:rPr>
          <w:b/>
          <w:bCs/>
        </w:rPr>
        <w:t xml:space="preserve">Medicare Advantage:</w:t>
      </w:r>
      <w:r>
        <w:t xml:space="preserve"> </w:t>
      </w:r>
      <w:r>
        <w:t xml:space="preserve">Is the business pacing toward the stated at-least-2% 2026 operating margin, and what are the implications of 2027 bid actions?</w:t>
      </w:r>
    </w:p>
    <w:p>
      <w:pPr>
        <w:pStyle w:val="Compact"/>
        <w:numPr>
          <w:ilvl w:val="0"/>
          <w:numId w:val="1011"/>
        </w:numPr>
      </w:pPr>
      <w:r>
        <w:rPr>
          <w:b/>
          <w:bCs/>
        </w:rPr>
        <w:t xml:space="preserve">CMS:</w:t>
      </w:r>
      <w:r>
        <w:t xml:space="preserve"> </w:t>
      </w:r>
      <w:r>
        <w:t xml:space="preserve">Have all July 31 compliance milestones been met or are they expected to be met on schedule? Has the range of possible exposure changed?</w:t>
      </w:r>
    </w:p>
    <w:p>
      <w:pPr>
        <w:pStyle w:val="Compact"/>
        <w:numPr>
          <w:ilvl w:val="0"/>
          <w:numId w:val="1011"/>
        </w:numPr>
      </w:pPr>
      <w:r>
        <w:rPr>
          <w:b/>
          <w:bCs/>
        </w:rPr>
        <w:t xml:space="preserve">Carelon:</w:t>
      </w:r>
      <w:r>
        <w:t xml:space="preserve"> </w:t>
      </w:r>
      <w:r>
        <w:t xml:space="preserve">When should investors expect risk-based Carelon Services investments to translate into clearer margin expansion?</w:t>
      </w:r>
    </w:p>
    <w:p>
      <w:pPr>
        <w:pStyle w:val="Compact"/>
        <w:numPr>
          <w:ilvl w:val="0"/>
          <w:numId w:val="1011"/>
        </w:numPr>
      </w:pPr>
      <w:r>
        <w:rPr>
          <w:b/>
          <w:bCs/>
        </w:rPr>
        <w:t xml:space="preserve">Cash flow:</w:t>
      </w:r>
      <w:r>
        <w:t xml:space="preserve"> </w:t>
      </w:r>
      <w:r>
        <w:t xml:space="preserve">How much of 1Q operating cash flow was timing-related, and is the at-least-$5.5 billion full-year target unchanged after considering the CMS matter?</w:t>
      </w:r>
    </w:p>
    <w:p>
      <w:pPr>
        <w:pStyle w:val="Compact"/>
        <w:numPr>
          <w:ilvl w:val="0"/>
          <w:numId w:val="1011"/>
        </w:numPr>
      </w:pPr>
      <w:r>
        <w:rPr>
          <w:b/>
          <w:bCs/>
        </w:rPr>
        <w:t xml:space="preserve">2027:</w:t>
      </w:r>
      <w:r>
        <w:t xml:space="preserve"> </w:t>
      </w:r>
      <w:r>
        <w:t xml:space="preserve">What evidence from 2Q most supports the company’s confidence in at least 12% adjusted EPS growth next year?</w:t>
      </w:r>
    </w:p>
    <w:bookmarkEnd w:id="23"/>
    <w:bookmarkStart w:id="24" w:name="bottom-line"/>
    <w:p>
      <w:pPr>
        <w:pStyle w:val="Heading2"/>
      </w:pPr>
      <w:r>
        <w:t xml:space="preserve">Bottom line</w:t>
      </w:r>
    </w:p>
    <w:p>
      <w:pPr>
        <w:pStyle w:val="FirstParagraph"/>
      </w:pPr>
      <w:r>
        <w:t xml:space="preserve">ELV’s 2Q report is principally a</w:t>
      </w:r>
      <w:r>
        <w:t xml:space="preserve"> </w:t>
      </w:r>
      <w:r>
        <w:rPr>
          <w:b/>
          <w:bCs/>
        </w:rPr>
        <w:t xml:space="preserve">validation quarter</w:t>
      </w:r>
      <w:r>
        <w:t xml:space="preserve">. The company has already reset its Medicare portfolio, raised 2026 guidance, outlined a credible 2027 earnings-growth path, and benefited from a sharply improved stock price. To sustain that momentum, it needs to demonstrate that medical-cost improvement is repeatable, Medicaid losses are contained and nearing a trough, Carelon’s investments have a path to profit conversion, and the CMS matter remains finite and manageable.</w:t>
      </w:r>
    </w:p>
    <w:p>
      <w:pPr>
        <w:pStyle w:val="BodyText"/>
      </w:pPr>
      <w:r>
        <w:rPr>
          <w:b/>
          <w:bCs/>
        </w:rPr>
        <w:t xml:space="preserve">Most important datapoint:</w:t>
      </w:r>
      <w:r>
        <w:t xml:space="preserve"> </w:t>
      </w:r>
      <w:r>
        <w:t xml:space="preserve">not the headline EPS result, but whether management can credibly preserve its full-year earnings floor and 2027 growth algorithm after incorporating more mature 2026 claims data.</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2026-07-15T00:19:02Z</dcterms:created>
  <dcterms:modified xsi:type="dcterms:W3CDTF">2026-07-15T00:19:02Z</dcterms:modified>
</cp:coreProperties>
</file>

<file path=docProps/custom.xml><?xml version="1.0" encoding="utf-8"?>
<Properties xmlns="http://schemas.openxmlformats.org/officeDocument/2006/custom-properties" xmlns:vt="http://schemas.openxmlformats.org/officeDocument/2006/docPropsVTypes"/>
</file>