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lv-earnings-predictions--2026-07-15"/>
    <w:p>
      <w:pPr>
        <w:pStyle w:val="Heading1"/>
      </w:pPr>
      <w:r>
        <w:t xml:space="preserve">ELV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Diluted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~$6.45 vs. cons $6.18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Health MLR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~89.4% vs. cons ~89.9%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~$48.6B vs. cons $48.82B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27.25</m:t>
              </m:r>
              <m:r>
                <m:rPr>
                  <m:sty m:val="p"/>
                </m:rPr>
                <m:t>−</m:t>
              </m:r>
            </m:oMath>
            <w:r>
              <w:t xml:space="preserve">27.50 vs. cons ~$26.86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Health MLR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~90.0-90.2% vs. cons ~90.2%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CMS Sanctions (qualitative)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confirm compliance steps completed; no new accrual [call: UNCHANGED / POSITIVE]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2027 EPS growth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reaffirm &gt;=12% growth; baseline rises with FY26 raise [call: UNCHANGED to BETTER]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ELV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- driven by estimate revisions on raised FY guide and higher 2027 baseline; CMS resolution removes tail risk and supports multiple expansion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2026-07-17T02:00:51Z</dcterms:created>
  <dcterms:modified xsi:type="dcterms:W3CDTF">2026-07-17T02:00:51Z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