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ast-earnings-predictions--2026-07-14"/>
    <w:p>
      <w:pPr>
        <w:pStyle w:val="Heading1"/>
      </w:pPr>
      <w:r>
        <w:t xml:space="preserve">FAST Earnings Predictions — 2026-07-14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/ daily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2.36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rPr>
                  <m:sty m:val="p"/>
                </m:rPr>
                <m:t>+</m:t>
              </m:r>
              <m:r>
                <m:t>13.5</m:t>
              </m:r>
            </m:oMath>
            <w:r>
              <w:t xml:space="preserve">2.34B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~44.5% vs. cons ~45.0%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~$0.33 vs. cons $0.33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Gross-margin H2 recovery / price-cost neutrality (FY26 exit)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~45% FY26 exit vs. cons ~45% (H2'26)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net capex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310</m:t>
              </m:r>
              <m:r>
                <m:rPr>
                  <m:sty m:val="p"/>
                </m:rPr>
                <m:t>–</m:t>
              </m:r>
              <m:r>
                <m:t>330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320M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Incremental / operating margin (high-20s incrementals; ~21% op margin)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~28% incrementals vs. cons ~27% (FY26); Q2 op margin ~20.7% vs. cons ~20.8%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(FADE)</w:t>
            </w:r>
          </w:p>
        </w:tc>
        <w:tc>
          <w:tcPr/>
          <w:p>
            <w:pPr>
              <w:pStyle w:val="Compact"/>
            </w:pPr>
            <w:r>
              <w:t xml:space="preserve">Revenue beat is well-telegraphed (14%+ monthly daily-sales pace) and largely priced into a full high-30s/40x multiple with a defensive 'Hold' Street. The move hinges on gross margin, which management pre-flagged as 'challenging'; a ~44.5% print (below ~45% cons, fastener-expansion tailwind rolling off, tariff price/cost still lagging) keeps near-term GM/EPS estimates from being revised up despite the top-line beat. Out-period math — H2 recovery narrative but no formal upgrade to margin path — pulls forward estimates flat-to-down, so an initial muted/negative reaction fades further over the week rather than following through.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2026-07-14T01:51:33Z</dcterms:created>
  <dcterms:modified xsi:type="dcterms:W3CDTF">2026-07-14T01:51:33Z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