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fast-earnings-predictions--2026-07-14"/>
    <w:p>
      <w:pPr>
        <w:pStyle w:val="Heading1"/>
      </w:pPr>
      <w:r>
        <w:t xml:space="preserve">FAST Earnings Predictions — 2026-07-14</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FAST</w:t>
            </w:r>
          </w:p>
        </w:tc>
        <w:tc>
          <w:tcPr/>
          <w:p>
            <w:pPr>
              <w:pStyle w:val="Compact"/>
            </w:pPr>
            <w:r>
              <w:t xml:space="preserve">Report</w:t>
            </w:r>
          </w:p>
        </w:tc>
        <w:tc>
          <w:tcPr/>
          <w:p>
            <w:pPr>
              <w:pStyle w:val="Compact"/>
            </w:pPr>
            <w:r>
              <w:t xml:space="preserve">Net sales / daily sales growth</w:t>
            </w:r>
          </w:p>
        </w:tc>
        <w:tc>
          <w:tcPr/>
          <w:p>
            <w:pPr>
              <w:pStyle w:val="Compact"/>
            </w:pPr>
            <w:r>
              <w:t xml:space="preserve">BEAT</w:t>
            </w:r>
          </w:p>
        </w:tc>
        <w:tc>
          <w:tcPr/>
          <w:p>
            <w:pPr>
              <w:pStyle w:val="Compact"/>
            </w:pPr>
            <w:r>
              <w:t xml:space="preserve">pred ~</w:t>
            </w:r>
            <m:oMath>
              <m:r>
                <m:t>2.365</m:t>
              </m:r>
              <m:r>
                <m:t>B</m:t>
              </m:r>
              <m:r>
                <m:rPr>
                  <m:sty m:val="p"/>
                </m:rPr>
                <m:t>(</m:t>
              </m:r>
              <m:r>
                <m:t> </m:t>
              </m:r>
              <m:r>
                <m:t>13.5</m:t>
              </m:r>
            </m:oMath>
            <w:r>
              <w:t xml:space="preserve">2.34B (~12.6% growth)</w:t>
            </w:r>
          </w:p>
        </w:tc>
        <w:tc>
          <w:tcPr/>
          <w:p>
            <w:pPr>
              <w:pStyle w:val="Compact"/>
            </w:pPr>
            <w:r>
              <w:t xml:space="preserve">MEDIUM</w:t>
            </w:r>
          </w:p>
        </w:tc>
      </w:tr>
      <w:tr>
        <w:tc>
          <w:tcPr/>
          <w:p>
            <w:pPr>
              <w:pStyle w:val="Compact"/>
            </w:pPr>
            <w:r>
              <w:t xml:space="preserve">FAST</w:t>
            </w:r>
          </w:p>
        </w:tc>
        <w:tc>
          <w:tcPr/>
          <w:p>
            <w:pPr>
              <w:pStyle w:val="Compact"/>
            </w:pPr>
            <w:r>
              <w:t xml:space="preserve">Report</w:t>
            </w:r>
          </w:p>
        </w:tc>
        <w:tc>
          <w:tcPr/>
          <w:p>
            <w:pPr>
              <w:pStyle w:val="Compact"/>
            </w:pPr>
            <w:r>
              <w:t xml:space="preserve">EPS</w:t>
            </w:r>
          </w:p>
        </w:tc>
        <w:tc>
          <w:tcPr/>
          <w:p>
            <w:pPr>
              <w:pStyle w:val="Compact"/>
            </w:pPr>
            <w:r>
              <w:t xml:space="preserve">MISS</w:t>
            </w:r>
          </w:p>
        </w:tc>
        <w:tc>
          <w:tcPr/>
          <w:p>
            <w:pPr>
              <w:pStyle w:val="Compact"/>
            </w:pPr>
            <w:r>
              <w:t xml:space="preserve">pred ~</w:t>
            </w:r>
            <m:oMath>
              <m:r>
                <m:t>0.32</m:t>
              </m:r>
              <m:r>
                <m:t>v</m:t>
              </m:r>
              <m:r>
                <m:t>s</m:t>
              </m:r>
              <m:r>
                <m:rPr>
                  <m:sty m:val="p"/>
                </m:rPr>
                <m:t>.</m:t>
              </m:r>
              <m:r>
                <m:t>c</m:t>
              </m:r>
              <m:r>
                <m:t>o</m:t>
              </m:r>
              <m:r>
                <m:t>n</m:t>
              </m:r>
              <m:r>
                <m:t>s</m:t>
              </m:r>
              <m:r>
                <m:t> </m:t>
              </m:r>
            </m:oMath>
            <w:r>
              <w:t xml:space="preserve">0.33</w:t>
            </w:r>
          </w:p>
        </w:tc>
        <w:tc>
          <w:tcPr/>
          <w:p>
            <w:pPr>
              <w:pStyle w:val="Compact"/>
            </w:pPr>
            <w:r>
              <w:t xml:space="preserve">MEDIUM</w:t>
            </w:r>
          </w:p>
        </w:tc>
      </w:tr>
      <w:tr>
        <w:tc>
          <w:tcPr/>
          <w:p>
            <w:pPr>
              <w:pStyle w:val="Compact"/>
            </w:pPr>
            <w:r>
              <w:t xml:space="preserve">FAST</w:t>
            </w:r>
          </w:p>
        </w:tc>
        <w:tc>
          <w:tcPr/>
          <w:p>
            <w:pPr>
              <w:pStyle w:val="Compact"/>
            </w:pPr>
            <w:r>
              <w:t xml:space="preserve">Report</w:t>
            </w:r>
          </w:p>
        </w:tc>
        <w:tc>
          <w:tcPr/>
          <w:p>
            <w:pPr>
              <w:pStyle w:val="Compact"/>
            </w:pPr>
            <w:r>
              <w:t xml:space="preserve">Gross margin</w:t>
            </w:r>
          </w:p>
        </w:tc>
        <w:tc>
          <w:tcPr/>
          <w:p>
            <w:pPr>
              <w:pStyle w:val="Compact"/>
            </w:pPr>
            <w:r>
              <w:t xml:space="preserve">MISS</w:t>
            </w:r>
          </w:p>
        </w:tc>
        <w:tc>
          <w:tcPr/>
          <w:p>
            <w:pPr>
              <w:pStyle w:val="Compact"/>
            </w:pPr>
            <w:r>
              <w:t xml:space="preserve">pred ~44.1% vs. cons ~44.6%</w:t>
            </w:r>
          </w:p>
        </w:tc>
        <w:tc>
          <w:tcPr/>
          <w:p>
            <w:pPr>
              <w:pStyle w:val="Compact"/>
            </w:pPr>
            <w:r>
              <w:t xml:space="preserve">MEDIUM</w:t>
            </w:r>
          </w:p>
        </w:tc>
      </w:tr>
      <w:tr>
        <w:tc>
          <w:tcPr/>
          <w:p>
            <w:pPr>
              <w:pStyle w:val="Compact"/>
            </w:pPr>
            <w:r>
              <w:t xml:space="preserve">FAST</w:t>
            </w:r>
          </w:p>
        </w:tc>
        <w:tc>
          <w:tcPr/>
          <w:p>
            <w:pPr>
              <w:pStyle w:val="Compact"/>
            </w:pPr>
            <w:r>
              <w:t xml:space="preserve">Guide</w:t>
            </w:r>
          </w:p>
        </w:tc>
        <w:tc>
          <w:tcPr/>
          <w:p>
            <w:pPr>
              <w:pStyle w:val="Compact"/>
            </w:pPr>
            <w:r>
              <w:t xml:space="preserve">Gross margin trajectory / price-cost catch-up</w:t>
            </w:r>
          </w:p>
        </w:tc>
        <w:tc>
          <w:tcPr/>
          <w:p>
            <w:pPr>
              <w:pStyle w:val="Compact"/>
            </w:pPr>
            <w:r>
              <w:t xml:space="preserve">UNCHANGED</w:t>
            </w:r>
          </w:p>
        </w:tc>
        <w:tc>
          <w:tcPr/>
          <w:p>
            <w:pPr>
              <w:pStyle w:val="Compact"/>
            </w:pPr>
            <w:r>
              <w:t xml:space="preserve">guide ~44.8-45.0% recovery vs. cons ~44.8% (Q3 2026)</w:t>
            </w:r>
          </w:p>
        </w:tc>
        <w:tc>
          <w:tcPr/>
          <w:p>
            <w:pPr>
              <w:pStyle w:val="Compact"/>
            </w:pPr>
            <w:r>
              <w:t xml:space="preserve">LOW</w:t>
            </w:r>
          </w:p>
        </w:tc>
      </w:tr>
      <w:tr>
        <w:tc>
          <w:tcPr/>
          <w:p>
            <w:pPr>
              <w:pStyle w:val="Compact"/>
            </w:pPr>
            <w:r>
              <w:t xml:space="preserve">FAST</w:t>
            </w:r>
          </w:p>
        </w:tc>
        <w:tc>
          <w:tcPr/>
          <w:p>
            <w:pPr>
              <w:pStyle w:val="Compact"/>
            </w:pPr>
            <w:r>
              <w:t xml:space="preserve">Guide</w:t>
            </w:r>
          </w:p>
        </w:tc>
        <w:tc>
          <w:tcPr/>
          <w:p>
            <w:pPr>
              <w:pStyle w:val="Compact"/>
            </w:pPr>
            <w:r>
              <w:t xml:space="preserve">FY2026 net capex guidance</w:t>
            </w:r>
          </w:p>
        </w:tc>
        <w:tc>
          <w:tcPr/>
          <w:p>
            <w:pPr>
              <w:pStyle w:val="Compact"/>
            </w:pPr>
            <w:r>
              <w:t xml:space="preserve">UNCHANGED</w:t>
            </w:r>
          </w:p>
        </w:tc>
        <w:tc>
          <w:tcPr/>
          <w:p>
            <w:pPr>
              <w:pStyle w:val="Compact"/>
            </w:pPr>
            <w:r>
              <w:t xml:space="preserve">guide ~</w:t>
            </w:r>
            <m:oMath>
              <m:r>
                <m:t>310</m:t>
              </m:r>
              <m:r>
                <m:rPr>
                  <m:sty m:val="p"/>
                </m:rPr>
                <m:t>−</m:t>
              </m:r>
              <m:r>
                <m:t>330</m:t>
              </m:r>
              <m:r>
                <m:t>M</m:t>
              </m:r>
              <m:r>
                <m:rPr>
                  <m:sty m:val="p"/>
                </m:rPr>
                <m:t>(</m:t>
              </m:r>
              <m:r>
                <m:t>r</m:t>
              </m:r>
              <m:r>
                <m:t>e</m:t>
              </m:r>
              <m:r>
                <m:t>a</m:t>
              </m:r>
              <m:r>
                <m:t>f</m:t>
              </m:r>
              <m:r>
                <m:t>f</m:t>
              </m:r>
              <m:r>
                <m:t>i</m:t>
              </m:r>
              <m:r>
                <m:t>r</m:t>
              </m:r>
              <m:r>
                <m:t>m</m:t>
              </m:r>
              <m:r>
                <m:t>e</m:t>
              </m:r>
              <m:r>
                <m:t>d</m:t>
              </m:r>
              <m:r>
                <m:rPr>
                  <m:sty m:val="p"/>
                </m:rPr>
                <m:t>)</m:t>
              </m:r>
              <m:r>
                <m:t>v</m:t>
              </m:r>
              <m:r>
                <m:t>s</m:t>
              </m:r>
              <m:r>
                <m:rPr>
                  <m:sty m:val="p"/>
                </m:rPr>
                <m:t>.</m:t>
              </m:r>
              <m:r>
                <m:t>c</m:t>
              </m:r>
              <m:r>
                <m:t>o</m:t>
              </m:r>
              <m:r>
                <m:t>n</m:t>
              </m:r>
              <m:r>
                <m:t>s</m:t>
              </m:r>
              <m:r>
                <m:t> </m:t>
              </m:r>
            </m:oMath>
            <w:r>
              <w:t xml:space="preserve">315M embedded (FY2026)</w:t>
            </w:r>
          </w:p>
        </w:tc>
        <w:tc>
          <w:tcPr/>
          <w:p>
            <w:pPr>
              <w:pStyle w:val="Compact"/>
            </w:pPr>
            <w:r>
              <w:t xml:space="preserve">MEDIUM</w:t>
            </w:r>
          </w:p>
        </w:tc>
      </w:tr>
      <w:tr>
        <w:tc>
          <w:tcPr/>
          <w:p>
            <w:pPr>
              <w:pStyle w:val="Compact"/>
            </w:pPr>
            <w:r>
              <w:t xml:space="preserve">FAST</w:t>
            </w:r>
          </w:p>
        </w:tc>
        <w:tc>
          <w:tcPr/>
          <w:p>
            <w:pPr>
              <w:pStyle w:val="Compact"/>
            </w:pPr>
            <w:r>
              <w:t xml:space="preserve">Guide</w:t>
            </w:r>
          </w:p>
        </w:tc>
        <w:tc>
          <w:tcPr/>
          <w:p>
            <w:pPr>
              <w:pStyle w:val="Compact"/>
            </w:pPr>
            <w:r>
              <w:t xml:space="preserve">Cumulative price realization framework</w:t>
            </w:r>
          </w:p>
        </w:tc>
        <w:tc>
          <w:tcPr/>
          <w:p>
            <w:pPr>
              <w:pStyle w:val="Compact"/>
            </w:pPr>
            <w:r>
              <w:t xml:space="preserve">UNCHANGED</w:t>
            </w:r>
          </w:p>
        </w:tc>
        <w:tc>
          <w:tcPr/>
          <w:p>
            <w:pPr>
              <w:pStyle w:val="Compact"/>
            </w:pPr>
            <w:r>
              <w:t xml:space="preserve">guide ~5-8% cumulative pricing (management framework) vs. cons ~6% implied (FY2026)</w:t>
            </w:r>
          </w:p>
        </w:tc>
        <w:tc>
          <w:tcPr/>
          <w:p>
            <w:pPr>
              <w:pStyle w:val="Compact"/>
            </w:pPr>
            <w:r>
              <w:t xml:space="preserve">LOW</w:t>
            </w:r>
          </w:p>
        </w:tc>
      </w:tr>
      <w:tr>
        <w:tc>
          <w:tcPr/>
          <w:p>
            <w:pPr>
              <w:pStyle w:val="Compact"/>
            </w:pPr>
            <w:r>
              <w:t xml:space="preserve">FAST</w:t>
            </w:r>
          </w:p>
        </w:tc>
        <w:tc>
          <w:tcPr/>
          <w:p>
            <w:pPr>
              <w:pStyle w:val="Compact"/>
            </w:pPr>
            <w:r>
              <w:t xml:space="preserve">Return</w:t>
            </w:r>
          </w:p>
        </w:tc>
        <w:tc>
          <w:tcPr/>
          <w:p>
            <w:pPr>
              <w:pStyle w:val="Compact"/>
            </w:pPr>
            <w:r>
              <w:t xml:space="preserve">Day-1 residual (stock − beta × S&amp;P 500)</w:t>
            </w:r>
          </w:p>
        </w:tc>
        <w:tc>
          <w:tcPr/>
          <w:p>
            <w:pPr>
              <w:pStyle w:val="Compact"/>
            </w:pPr>
            <w:r>
              <w:t xml:space="preserve">-3.5%</w:t>
            </w:r>
          </w:p>
        </w:tc>
        <w:tc>
          <w:tcPr/>
          <w:p>
            <w:pPr>
              <w:pStyle w:val="Compact"/>
            </w:pPr>
            <w:r>
              <w:t xml:space="preserve">—</w:t>
            </w:r>
          </w:p>
        </w:tc>
        <w:tc>
          <w:tcPr/>
          <w:p>
            <w:pPr>
              <w:pStyle w:val="Compact"/>
            </w:pPr>
            <w:r>
              <w:t xml:space="preserve">MEDIUM</w:t>
            </w:r>
          </w:p>
        </w:tc>
      </w:tr>
      <w:tr>
        <w:tc>
          <w:tcPr/>
          <w:p>
            <w:pPr>
              <w:pStyle w:val="Compact"/>
            </w:pPr>
            <w:r>
              <w:t xml:space="preserve">FAST</w:t>
            </w:r>
          </w:p>
        </w:tc>
        <w:tc>
          <w:tcPr/>
          <w:p>
            <w:pPr>
              <w:pStyle w:val="Compact"/>
            </w:pPr>
            <w:r>
              <w:t xml:space="preserve">Return</w:t>
            </w:r>
          </w:p>
        </w:tc>
        <w:tc>
          <w:tcPr/>
          <w:p>
            <w:pPr>
              <w:pStyle w:val="Compact"/>
            </w:pPr>
            <w:r>
              <w:t xml:space="preserve">5-day cumulative residual</w:t>
            </w:r>
          </w:p>
        </w:tc>
        <w:tc>
          <w:tcPr/>
          <w:p>
            <w:pPr>
              <w:pStyle w:val="Compact"/>
            </w:pPr>
            <w:r>
              <w:t xml:space="preserve">-4.5% (FOLLOW-THROUGH)</w:t>
            </w:r>
          </w:p>
        </w:tc>
        <w:tc>
          <w:tcPr/>
          <w:p>
            <w:pPr>
              <w:pStyle w:val="Compact"/>
            </w:pPr>
            <w:r>
              <w:t xml:space="preserve">A second straight quarter of gross-margin shortfall (after Q1's ~40bps miss) alongside a fading SG&amp;A/incentive-comp tailwind implies FY26 EPS estimates get trimmed for H2, not just Q2 — analysts will push out the 'price catches cost' timeline again. Combined with the unusual CEO handoff two days later removing a source of continuity reassurance, initial post-print weakness likely extends over the following days rather than reversing, consistent with the Q1 pattern where shares fell further in the days after the print as estimate cuts filtered through.</w:t>
            </w:r>
          </w:p>
        </w:tc>
        <w:tc>
          <w:tcPr/>
          <w:p>
            <w:pPr>
              <w:pStyle w:val="Compact"/>
            </w:pPr>
            <w:r>
              <w:t xml:space="preserve">MEDIUM</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2026-07-14T01:45:56Z</dcterms:created>
  <dcterms:modified xsi:type="dcterms:W3CDTF">2026-07-14T01:45:56Z</dcterms:modified>
</cp:coreProperties>
</file>

<file path=docProps/custom.xml><?xml version="1.0" encoding="utf-8"?>
<Properties xmlns="http://schemas.openxmlformats.org/officeDocument/2006/custom-properties" xmlns:vt="http://schemas.openxmlformats.org/officeDocument/2006/docPropsVTypes"/>
</file>