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fastenal-fast--q2-2026-earnings-preview"/>
    <w:p>
      <w:pPr>
        <w:pStyle w:val="Heading1"/>
      </w:pPr>
      <w:r>
        <w:t xml:space="preserve">Fastenal (FAST) — Q2 2026 Earnings Preview</w:t>
      </w:r>
    </w:p>
    <w:p>
      <w:pPr>
        <w:pStyle w:val="FirstParagraph"/>
      </w:pPr>
      <w:r>
        <w:rPr>
          <w:b/>
          <w:bCs/>
        </w:rPr>
        <w:t xml:space="preserve">Report Date:</w:t>
      </w:r>
      <w:r>
        <w:t xml:space="preserve"> </w:t>
      </w:r>
      <w:r>
        <w:t xml:space="preserve">Tuesday, July 14, 2026 (before market open) |</w:t>
      </w:r>
      <w:r>
        <w:t xml:space="preserve"> </w:t>
      </w:r>
      <w:r>
        <w:rPr>
          <w:b/>
          <w:bCs/>
        </w:rPr>
        <w:t xml:space="preserve">Call:</w:t>
      </w:r>
      <w:r>
        <w:t xml:space="preserve"> </w:t>
      </w:r>
      <w:r>
        <w:t xml:space="preserve">2026Q2 Earnings Call</w:t>
      </w:r>
      <w:r>
        <w:t xml:space="preserve"> </w:t>
      </w:r>
      <w:r>
        <w:rPr>
          <w:b/>
          <w:bCs/>
        </w:rPr>
        <w:t xml:space="preserve">Last Close (7/13/26):</w:t>
      </w:r>
      <w:r>
        <w:t xml:space="preserve"> </w:t>
      </w:r>
      <w:r>
        <w:t xml:space="preserve">~$47.07 |</w:t>
      </w:r>
      <w:r>
        <w:t xml:space="preserve"> </w:t>
      </w:r>
      <w:r>
        <w:rPr>
          <w:b/>
          <w:bCs/>
        </w:rPr>
        <w:t xml:space="preserve">52-week range:</w:t>
      </w:r>
      <w:r>
        <w:t xml:space="preserve"> </w:t>
      </w:r>
      <w:r>
        <w:t xml:space="preserve">roughly</w:t>
      </w:r>
      <w:r>
        <w:t xml:space="preserve"> </w:t>
      </w:r>
      <m:oMath>
        <m:r>
          <m:t>43</m:t>
        </m:r>
        <m:r>
          <m:rPr>
            <m:sty m:val="p"/>
          </m:rPr>
          <m:t>–</m:t>
        </m:r>
      </m:oMath>
      <w:r>
        <w:t xml:space="preserve">51</w:t>
      </w:r>
    </w:p>
    <w:p>
      <w:r>
        <w:pict>
          <v:rect style="width:0;height:1.5pt" o:hralign="center" o:hrstd="t" o:hr="t"/>
        </w:pict>
      </w:r>
    </w:p>
    <w:bookmarkStart w:id="9" w:name="X636b52dd95d19fa2019c044e97f95a3dbc7da95"/>
    <w:p>
      <w:pPr>
        <w:pStyle w:val="Heading2"/>
      </w:pPr>
      <w:r>
        <w:t xml:space="preserve">1. Setting the Stage: What Happened Last Quarter</w:t>
      </w:r>
    </w:p>
    <w:p>
      <w:pPr>
        <w:pStyle w:val="FirstParagraph"/>
      </w:pPr>
      <w:r>
        <w:t xml:space="preserve">Fastenal enters Q2 on a strong run. In Q1 2026, Fastenal delivered 12.4% daily sales growth, its third consecutive quarter of double-digit growth, with net sales of $2,201.7 million and operating margin improving to 20.3% from 20.1% a year earlier. Growth was broad-based — heavy manufacturing represented 44% of total sales with average daily sales growth near the mid-teens, and non-residential construction — long a laggard — grew 17%, its first positive quarter after thirteen consecutive quarters of contraction.</w:t>
      </w:r>
    </w:p>
    <w:p>
      <w:pPr>
        <w:pStyle w:val="BodyText"/>
      </w:pPr>
      <w:r>
        <w:t xml:space="preserve">The catch:</w:t>
      </w:r>
      <w:r>
        <w:t xml:space="preserve"> </w:t>
      </w:r>
      <w:r>
        <w:rPr>
          <w:b/>
          <w:bCs/>
        </w:rPr>
        <w:t xml:space="preserve">gross margin fell short</w:t>
      </w:r>
      <w:r>
        <w:t xml:space="preserve">. Management admitted the company was approximately 40 basis points below its own Q1 gross margin target as pricing actions did not keep up with cost increases as the quarter played out, driven largely by tariff-related cost increases moving through the P&amp;L faster than pricing could catch up. CEO Dan Florness was candid on the call that "Q2 is challenging. Q1 was challenging," even while expressing confidence that pricing actions taken throughout Q1 would show up more fully in Q3/Q4. Shares fell roughly 2–7% around the Q1 report despite the sales beat, as investors focused on the margin miss.</w:t>
      </w:r>
    </w:p>
    <w:bookmarkEnd w:id="9"/>
    <w:bookmarkStart w:id="10" w:name="X67c2f5e93a493077e8eec1b7455ba6b03810d90"/>
    <w:p>
      <w:pPr>
        <w:pStyle w:val="Heading2"/>
      </w:pPr>
      <w:r>
        <w:t xml:space="preserve">2. The Monthly Sales Tape Has Been Very Strong</w:t>
      </w:r>
    </w:p>
    <w:p>
      <w:pPr>
        <w:pStyle w:val="FirstParagraph"/>
      </w:pPr>
      <w:r>
        <w:t xml:space="preserve">Fastenal is unique among distributors in publishing monthly sales, giving investors a real-time read heading into Q2 results: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Month</w:t>
            </w:r>
          </w:p>
        </w:tc>
        <w:tc>
          <w:tcPr/>
          <w:p>
            <w:pPr>
              <w:pStyle w:val="Compact"/>
            </w:pPr>
            <w:r>
              <w:t xml:space="preserve">Daily Sales Growth (YoY)</w:t>
            </w:r>
          </w:p>
        </w:tc>
        <w:tc>
          <w:tcPr/>
          <w:p>
            <w:pPr>
              <w:pStyle w:val="Compact"/>
            </w:pPr>
            <w:r>
              <w:t xml:space="preserve">Commentary</w:t>
            </w:r>
          </w:p>
        </w:tc>
      </w:tr>
      <w:tr>
        <w:tc>
          <w:tcPr/>
          <w:p>
            <w:pPr>
              <w:pStyle w:val="Compact"/>
            </w:pPr>
            <w:r>
              <w:t xml:space="preserve">April 2026</w:t>
            </w:r>
          </w:p>
        </w:tc>
        <w:tc>
          <w:tcPr/>
          <w:p>
            <w:pPr>
              <w:pStyle w:val="Compact"/>
            </w:pPr>
            <w:r>
              <w:rPr>
                <w:b/>
                <w:bCs/>
              </w:rPr>
              <w:t xml:space="preserve">+14.3%</w:t>
            </w:r>
          </w:p>
        </w:tc>
        <w:tc>
          <w:tcPr/>
          <w:p>
            <w:pPr>
              <w:pStyle w:val="Compact"/>
            </w:pPr>
            <w:r>
              <w:t xml:space="preserve">Best monthly DSR growth since August 2022; net sales ~$790 million</w:t>
            </w:r>
          </w:p>
        </w:tc>
      </w:tr>
      <w:tr>
        <w:tc>
          <w:tcPr/>
          <w:p>
            <w:pPr>
              <w:pStyle w:val="Compact"/>
            </w:pPr>
            <w:r>
              <w:t xml:space="preserve">May 2026</w:t>
            </w:r>
          </w:p>
        </w:tc>
        <w:tc>
          <w:tcPr/>
          <w:p>
            <w:pPr>
              <w:pStyle w:val="Compact"/>
            </w:pPr>
            <w:r>
              <w:rPr>
                <w:b/>
                <w:bCs/>
              </w:rPr>
              <w:t xml:space="preserve">+14.8%</w:t>
            </w:r>
            <w:r>
              <w:t xml:space="preserve"> </w:t>
            </w:r>
            <w:r>
              <w:t xml:space="preserve">DSR (net sales +9.3%, one fewer selling day)</w:t>
            </w:r>
          </w:p>
        </w:tc>
        <w:tc>
          <w:tcPr/>
          <w:p>
            <w:pPr>
              <w:pStyle w:val="Compact"/>
            </w:pPr>
            <w:r>
              <w:t xml:space="preserve">Net sales of $751.5 million</w:t>
            </w:r>
          </w:p>
        </w:tc>
      </w:tr>
      <w:tr>
        <w:tc>
          <w:tcPr/>
          <w:p>
            <w:pPr>
              <w:pStyle w:val="Compact"/>
            </w:pPr>
            <w:r>
              <w:t xml:space="preserve">June 2026</w:t>
            </w:r>
          </w:p>
        </w:tc>
        <w:tc>
          <w:tcPr/>
          <w:p>
            <w:pPr>
              <w:pStyle w:val="Compact"/>
            </w:pPr>
            <w:r>
              <w:t xml:space="preserve">Estimated</w:t>
            </w:r>
            <w:r>
              <w:t xml:space="preserve"> </w:t>
            </w:r>
            <w:r>
              <w:rPr>
                <w:b/>
                <w:bCs/>
              </w:rPr>
              <w:t xml:space="preserve">~12%</w:t>
            </w:r>
            <w:r>
              <w:t xml:space="preserve"> </w:t>
            </w:r>
            <w:r>
              <w:t xml:space="preserve">(DA Davidson forecast 12.3%)</w:t>
            </w:r>
          </w:p>
        </w:tc>
        <w:tc>
          <w:tcPr/>
          <w:p>
            <w:pPr>
              <w:pStyle w:val="Compact"/>
            </w:pPr>
            <w:r>
              <w:t xml:space="preserve">Faces a tougher comp as 2025 pricing actions began layering in</w:t>
            </w:r>
          </w:p>
        </w:tc>
      </w:tr>
    </w:tbl>
    <w:p>
      <w:pPr>
        <w:pStyle w:val="BodyText"/>
      </w:pPr>
      <w:r>
        <w:t xml:space="preserve">This cadence implies Q2 daily-sales growth in the low-teens, consistent with sell-side estimates. Notably, management flagged that comps get harder from here: on the Q1 call, CFO Max Tunnicliff cautioned that Fastenal started pricing in Q2 of last year, so the company is "going to start to encounter a little bit of a comp item on the top line" even though it doesn't affect operating profit dollars.</w:t>
      </w:r>
    </w:p>
    <w:bookmarkEnd w:id="10"/>
    <w:bookmarkStart w:id="11" w:name="X22f6543435035c1136f7250506ebd67dbcdbe2c"/>
    <w:p>
      <w:pPr>
        <w:pStyle w:val="Heading2"/>
      </w:pPr>
      <w:r>
        <w:t xml:space="preserve">3. Consensus Expectations for Q2 2026</w:t>
      </w:r>
    </w:p>
    <w:p>
      <w:pPr>
        <w:pStyle w:val="Compact"/>
        <w:numPr>
          <w:ilvl w:val="0"/>
          <w:numId w:val="1001"/>
        </w:numPr>
      </w:pPr>
      <w:r>
        <w:rPr>
          <w:b/>
          <w:bCs/>
        </w:rPr>
        <w:t xml:space="preserve">Revenue:</w:t>
      </w:r>
      <w:r>
        <w:t xml:space="preserve"> </w:t>
      </w:r>
      <w:r>
        <w:t xml:space="preserve">~$2.34 billion (+12.5–12.7% YoY)</w:t>
      </w:r>
    </w:p>
    <w:p>
      <w:pPr>
        <w:pStyle w:val="Compact"/>
        <w:numPr>
          <w:ilvl w:val="0"/>
          <w:numId w:val="1001"/>
        </w:numPr>
      </w:pPr>
      <w:r>
        <w:rPr>
          <w:b/>
          <w:bCs/>
        </w:rPr>
        <w:t xml:space="preserve">EPS:</w:t>
      </w:r>
      <w:r>
        <w:t xml:space="preserve"> </w:t>
      </w:r>
      <w:r>
        <w:t xml:space="preserve">~$0.33 (+12.7–13.8% YoY), up from $0.29 in Q2 2025</w:t>
      </w:r>
    </w:p>
    <w:p>
      <w:pPr>
        <w:pStyle w:val="Compact"/>
        <w:numPr>
          <w:ilvl w:val="0"/>
          <w:numId w:val="1001"/>
        </w:numPr>
      </w:pPr>
      <w:r>
        <w:rPr>
          <w:b/>
          <w:bCs/>
        </w:rPr>
        <w:t xml:space="preserve">Gross margin:</w:t>
      </w:r>
      <w:r>
        <w:t xml:space="preserve"> </w:t>
      </w:r>
      <w:r>
        <w:t xml:space="preserve">Street ~44.6%; DA Davidson more cautious at 44.4% (down ~90 bps YoY) given lingering price/cost headwinds and transportation costs</w:t>
      </w:r>
    </w:p>
    <w:p>
      <w:pPr>
        <w:pStyle w:val="Compact"/>
        <w:numPr>
          <w:ilvl w:val="0"/>
          <w:numId w:val="1001"/>
        </w:numPr>
      </w:pPr>
      <w:r>
        <w:t xml:space="preserve">Zacks EPS estimate has drifted</w:t>
      </w:r>
      <w:r>
        <w:t xml:space="preserve"> </w:t>
      </w:r>
      <w:r>
        <w:rPr>
          <w:b/>
          <w:bCs/>
        </w:rPr>
        <w:t xml:space="preserve">up</w:t>
      </w:r>
      <w:r>
        <w:t xml:space="preserve"> </w:t>
      </w:r>
      <w:r>
        <w:t xml:space="preserve">slightly over the last 60 days (32¢ → 33¢), suggesting some analyst confidence in the beat continuing</w:t>
      </w:r>
    </w:p>
    <w:p>
      <w:pPr>
        <w:pStyle w:val="Compact"/>
        <w:numPr>
          <w:ilvl w:val="0"/>
          <w:numId w:val="1001"/>
        </w:numPr>
      </w:pPr>
      <w:r>
        <w:t xml:space="preserve">FAST has beaten, met, or narrowly missed estimates in recent quarters (trailing surprises of roughly +2.7%, -2.4%, +0.4%, +0.4%)</w:t>
      </w:r>
    </w:p>
    <w:bookmarkEnd w:id="11"/>
    <w:bookmarkStart w:id="12" w:name="X2adc59179bd6359cc238d5464d75655e2b6ac92"/>
    <w:p>
      <w:pPr>
        <w:pStyle w:val="Heading2"/>
      </w:pPr>
      <w:r>
        <w:t xml:space="preserve">4. Key Themes to Watch on the Call</w:t>
      </w:r>
    </w:p>
    <w:p>
      <w:pPr>
        <w:pStyle w:val="FirstParagraph"/>
      </w:pPr>
      <w:r>
        <w:rPr>
          <w:b/>
          <w:bCs/>
        </w:rPr>
        <w:t xml:space="preserve">a) Price/cost dynamics and tariffs.</w:t>
      </w:r>
      <w:r>
        <w:t xml:space="preserve"> </w:t>
      </w:r>
      <w:r>
        <w:t xml:space="preserve">This is the single biggest swing factor. In Q1, Fastenal realized approximately 3.5% year-over-year pricing, compared to 3.3% in the fourth quarter — not enough to offset inflation. Management pointed to branded suppliers (safety products, cutting tools) aggressively raising costs, compounded by confusion from the February 2026 Supreme Court ruling that invalidated the broad-based tariffs imposed under the International Emergency Economic Powers Act (IEEPA), which paused some customer pricing conversations mid-quarter. Watch for whether the "5% to 8% cumulative" pricing framework management has cited is still intact, and whether price/cost is turning the corner as promised for mid-year.</w:t>
      </w:r>
    </w:p>
    <w:p>
      <w:pPr>
        <w:pStyle w:val="BodyText"/>
      </w:pPr>
      <w:r>
        <w:rPr>
          <w:b/>
          <w:bCs/>
        </w:rPr>
        <w:t xml:space="preserve">b) Gross margin trajectory vs. SG&amp;A leverage.</w:t>
      </w:r>
      <w:r>
        <w:t xml:space="preserve"> </w:t>
      </w:r>
      <w:r>
        <w:t xml:space="preserve">Fastenal's story last quarter was resilient operating margin despite a soft gross margin — SG&amp;A leverage (24.3% of sales vs. 25.0% a year ago) more than offset the gross margin miss. That SG&amp;A tailwind is about to shrink: this was the company's final quarter of "reloading" bonuses tied to earnings growth, since incentive compensation ramped up dramatically in Q2 of last year — meaning Q2 2026 laps a tough comp on that specific leverage driver. The key debate (per DA Davidson) is whether "current consensus earnings forecasts are slightly too high due to near-term margin challenges."</w:t>
      </w:r>
    </w:p>
    <w:p>
      <w:pPr>
        <w:pStyle w:val="BodyText"/>
      </w:pPr>
      <w:r>
        <w:rPr>
          <w:b/>
          <w:bCs/>
        </w:rPr>
        <w:t xml:space="preserve">c) CEO transition — a genuinely unusual backdrop.</w:t>
      </w:r>
      <w:r>
        <w:t xml:space="preserve"> </w:t>
      </w:r>
      <w:r>
        <w:t xml:space="preserve">Two days after this earnings call, on</w:t>
      </w:r>
      <w:r>
        <w:t xml:space="preserve"> </w:t>
      </w:r>
      <w:r>
        <w:rPr>
          <w:b/>
          <w:bCs/>
        </w:rPr>
        <w:t xml:space="preserve">July 16, 2026</w:t>
      </w:r>
      <w:r>
        <w:t xml:space="preserve">, longtime CEO Dan Florness steps down after a 10-year tenure, handing the reins to President and Chief Sales Officer Jeff Watts, who has been elevated in an orderly succession process that began in 2024. Florness will stay on as a strategic advisor into 2028, and new CFO Max Tunnicliff is also relatively new in his seat. This is likely the last quarterly call Florness will host as CEO, and investors should listen for continuity messaging on strategy, capital allocation, and pricing discipline as Watts prepares to take over.</w:t>
      </w:r>
    </w:p>
    <w:p>
      <w:pPr>
        <w:pStyle w:val="BodyText"/>
      </w:pPr>
      <w:r>
        <w:rPr>
          <w:b/>
          <w:bCs/>
        </w:rPr>
        <w:t xml:space="preserve">d) Capital allocation and buybacks.</w:t>
      </w:r>
      <w:r>
        <w:t xml:space="preserve"> </w:t>
      </w:r>
      <w:r>
        <w:t xml:space="preserve">Fastenal resumed modest share repurchases in Q1 ($20 million, its first buyback in some time) explicitly to offset dilution, calling this a simple mathematical offset with the company remaining opportunistic longer-term. Watch for continuation of that pattern, dividend commentary, and confirmation of the elevated FY2026 net capex guide of $310–330 million, up from $230.6 million in 2025, tied to hub network expansion (including replacing the Atlanta hub), fleet, and IT investment.</w:t>
      </w:r>
    </w:p>
    <w:p>
      <w:pPr>
        <w:pStyle w:val="BodyText"/>
      </w:pPr>
      <w:r>
        <w:rPr>
          <w:b/>
          <w:bCs/>
        </w:rPr>
        <w:t xml:space="preserve">e) Structural growth drivers — still intact.</w:t>
      </w:r>
      <w:r>
        <w:t xml:space="preserve"> </w:t>
      </w:r>
      <w:r>
        <w:t xml:space="preserve">Contract/key-account momentum, FMI device penetration (goal of 28,000–30,000 device signings in 2026), digital footprint (&gt;61% of sales), and international expansion (Europe/Asia growing near 24%) all remain core share-gain narratives that should continue regardless of near-term margin noise.</w:t>
      </w:r>
    </w:p>
    <w:bookmarkEnd w:id="12"/>
    <w:bookmarkStart w:id="13" w:name="X3e313fd408705f27a836e2a1f4c76fdeebe44fc"/>
    <w:p>
      <w:pPr>
        <w:pStyle w:val="Heading2"/>
      </w:pPr>
      <w:r>
        <w:t xml:space="preserve">5. Valuation and Sentiment Into the Print</w:t>
      </w:r>
    </w:p>
    <w:p>
      <w:pPr>
        <w:pStyle w:val="FirstParagraph"/>
      </w:pPr>
      <w:r>
        <w:t xml:space="preserve">The stock has been volatile but resilient, trading in the</w:t>
      </w:r>
      <w:r>
        <w:t xml:space="preserve"> </w:t>
      </w:r>
      <m:oMath>
        <m:r>
          <m:t>43</m:t>
        </m:r>
        <m:r>
          <m:rPr>
            <m:sty m:val="p"/>
          </m:rPr>
          <m:t>–</m:t>
        </m:r>
      </m:oMath>
      <w:r>
        <w:t xml:space="preserve">51 range over the past six months and closing near $47 ahead of earnings — up from around $40 at the start of the year. Sell-side sentiment is mixed-to-neutral heading in: DA Davidson (Neutral, $46 PT, initiated mid-June) and Barclays (Equal-Weight, $46 PT) sit alongside more constructive calls from Jefferies (Buy, $52 PT) and more cautious ones from Bernstein (Underperform). The stock continues to command a premium multiple (~40x+ forward earnings by some estimates), reflecting Fastenal's high-ROIC, cross-cycle compounder reputation — which also means the market has limited tolerance for a repeat gross-margin miss.</w:t>
      </w:r>
    </w:p>
    <w:bookmarkEnd w:id="13"/>
    <w:bookmarkStart w:id="14" w:name="Xd4bf6205a9bfa183b58f00ca467c208cbf0bac7"/>
    <w:p>
      <w:pPr>
        <w:pStyle w:val="Heading2"/>
      </w:pPr>
      <w:r>
        <w:t xml:space="preserve">6. Bottom Line for Investors</w:t>
      </w:r>
    </w:p>
    <w:p>
      <w:pPr>
        <w:pStyle w:val="FirstParagraph"/>
      </w:pPr>
      <w:r>
        <w:t xml:space="preserve">The top-line story going into Q2 is unambiguously strong — accelerating monthly sales, broadening end-market demand (especially the construction inflection), and continued digital/FMI share gains. The swing factor is margins: can Fastenal show that price actions are finally catching up to tariff- and inflation-driven cost increases, and can SG&amp;A discipline continue to offset gross margin pressure once the incentive-comp comp headwind disappears? Layered on top is a rare leadership handoff, with Jeff Watts taking the CEO seat just two days after this report — making management's tone on strategic continuity as important as the numbers themselves.</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2026-07-14T01:45:56Z</dcterms:created>
  <dcterms:modified xsi:type="dcterms:W3CDTF">2026-07-14T01:45:56Z</dcterms:modified>
</cp:coreProperties>
</file>

<file path=docProps/custom.xml><?xml version="1.0" encoding="utf-8"?>
<Properties xmlns="http://schemas.openxmlformats.org/officeDocument/2006/custom-properties" xmlns:vt="http://schemas.openxmlformats.org/officeDocument/2006/docPropsVTypes"/>
</file>