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st-earnings-predictions--2026-07-14"/>
    <w:p>
      <w:pPr>
        <w:pStyle w:val="Heading1"/>
      </w:pPr>
      <w:r>
        <w:t xml:space="preserve">FAST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~$2.367B vs. cons $2.340B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~$0.33 vs. cons $0.33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~21.0% vs. cons 21.2%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gross margin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~44.7% vs. cons 44.8%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~27% vs. cons 27%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~$320M vs. cons $320M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-1.1% (FADE)</w:t>
            </w:r>
          </w:p>
        </w:tc>
        <w:tc>
          <w:tcPr/>
          <w:p>
            <w:pPr>
              <w:pStyle w:val="Compact"/>
            </w:pPr>
            <w:r>
              <w:t xml:space="preserve">The mechanical revenue beat of ~1.2% versus consensus is offset by operating margin of ~21.0% versus 21.2% and Q3 gross margin commentary of ~44.7% versus 44.8%. Initial valuation-driven weakness should partially fade because FY2026 incremental-margin guidance remains ~27% versus 27%, limiting out-period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2026-07-14T01:26:54Z</dcterms:created>
  <dcterms:modified xsi:type="dcterms:W3CDTF">2026-07-14T01:26:54Z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