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4f67d1361e4c835be427def9cbb05f2a58b78f"/>
    <w:p>
      <w:pPr>
        <w:pStyle w:val="Heading1"/>
      </w:pPr>
      <w:r>
        <w:t xml:space="preserve">Fastenal (NASDAQ: FAST) — 2Q26 Earnings Preview</w:t>
      </w:r>
    </w:p>
    <w:p>
      <w:pPr>
        <w:pStyle w:val="FirstParagraph"/>
      </w:pPr>
      <w:r>
        <w:rPr>
          <w:b/>
          <w:bCs/>
        </w:rPr>
        <w:t xml:space="preserve">Event:</w:t>
      </w:r>
      <w:r>
        <w:t xml:space="preserve"> </w:t>
      </w:r>
      <w:r>
        <w:t xml:space="preserve">2Q26 earnings call on</w:t>
      </w:r>
      <w:r>
        <w:t xml:space="preserve"> </w:t>
      </w:r>
      <w:r>
        <w:rPr>
          <w:b/>
          <w:bCs/>
        </w:rPr>
        <w:t xml:space="preserve">July 14, 2026</w:t>
      </w:r>
      <w:r>
        <w:br/>
      </w:r>
      <w:r>
        <w:rPr>
          <w:b/>
          <w:bCs/>
        </w:rPr>
        <w:t xml:space="preserve">Data through:</w:t>
      </w:r>
      <w:r>
        <w:t xml:space="preserve"> </w:t>
      </w:r>
      <w:r>
        <w:t xml:space="preserve">July 13, 2026 close</w:t>
      </w:r>
    </w:p>
    <w:bookmarkStart w:id="9" w:name="bottom-line"/>
    <w:p>
      <w:pPr>
        <w:pStyle w:val="Heading2"/>
      </w:pPr>
      <w:r>
        <w:t xml:space="preserve">Bottom line</w:t>
      </w:r>
    </w:p>
    <w:p>
      <w:pPr>
        <w:pStyle w:val="FirstParagraph"/>
      </w:pPr>
      <w:r>
        <w:t xml:space="preserve">Fastenal enters 2Q with</w:t>
      </w:r>
      <w:r>
        <w:t xml:space="preserve"> </w:t>
      </w:r>
      <w:r>
        <w:rPr>
          <w:b/>
          <w:bCs/>
        </w:rPr>
        <w:t xml:space="preserve">strong self-help sales momentum</w:t>
      </w:r>
      <w:r>
        <w:t xml:space="preserve">—driven by contract wins, penetration of larger customer sites, and FMI/digital adoption—but with the key investor debate centered on</w:t>
      </w:r>
      <w:r>
        <w:t xml:space="preserve"> </w:t>
      </w:r>
      <w:r>
        <w:rPr>
          <w:b/>
          <w:bCs/>
        </w:rPr>
        <w:t xml:space="preserve">gross-margin recovery</w:t>
      </w:r>
      <w:r>
        <w:t xml:space="preserve">.</w:t>
      </w:r>
    </w:p>
    <w:p>
      <w:pPr>
        <w:pStyle w:val="BodyText"/>
      </w:pPr>
      <w:r>
        <w:t xml:space="preserve">The company’s 1Q results showed that Fastenal can grow well ahead of an uneven industrial backdrop: daily sales rose</w:t>
      </w:r>
      <w:r>
        <w:t xml:space="preserve"> </w:t>
      </w:r>
      <w:r>
        <w:rPr>
          <w:b/>
          <w:bCs/>
        </w:rPr>
        <w:t xml:space="preserve">12.4%</w:t>
      </w:r>
      <w:r>
        <w:t xml:space="preserve">, contract-customer sales grew</w:t>
      </w:r>
      <w:r>
        <w:t xml:space="preserve"> </w:t>
      </w:r>
      <w:r>
        <w:rPr>
          <w:b/>
          <w:bCs/>
        </w:rPr>
        <w:t xml:space="preserve">14.6%</w:t>
      </w:r>
      <w:r>
        <w:t xml:space="preserve">, and operating margin expanded despite a 50 bp gross-margin headwind. However, management was unusually direct that</w:t>
      </w:r>
      <w:r>
        <w:t xml:space="preserve"> </w:t>
      </w:r>
      <w:r>
        <w:rPr>
          <w:b/>
          <w:bCs/>
        </w:rPr>
        <w:t xml:space="preserve">2Q would remain challenging</w:t>
      </w:r>
      <w:r>
        <w:t xml:space="preserve"> </w:t>
      </w:r>
      <w:r>
        <w:t xml:space="preserve">on price/cost as higher tariff- and supplier-related costs work through the P&amp;L faster than customer pricing actions.</w:t>
      </w:r>
    </w:p>
    <w:p>
      <w:pPr>
        <w:pStyle w:val="BodyText"/>
      </w:pPr>
      <w:r>
        <w:rPr>
          <w:b/>
          <w:bCs/>
        </w:rPr>
        <w:t xml:space="preserve">The report matters less for whether FAST grows and more for whether management can demonstrate that 1Q was the trough for price/cost.</w:t>
      </w:r>
      <w:r>
        <w:t xml:space="preserve"> </w:t>
      </w:r>
      <w:r>
        <w:t xml:space="preserve">A beat driven solely by sales, without evidence of improving gross-margin trajectory or confidence in 2H recovery, may not be enough for a stock that has already appreciated meaningfully this year.</w:t>
      </w:r>
    </w:p>
    <w:p>
      <w:r>
        <w:pict>
          <v:rect style="width:0;height:1.5pt" o:hralign="center" o:hrstd="t" o:hr="t"/>
        </w:pict>
      </w:r>
    </w:p>
    <w:bookmarkEnd w:id="9"/>
    <w:bookmarkStart w:id="10" w:name="X453da6813238c77fb727780554eb2c2fd259047"/>
    <w:p>
      <w:pPr>
        <w:pStyle w:val="Heading2"/>
      </w:pPr>
      <w:r>
        <w:t xml:space="preserve">Setup: What is embedded in the business heading into 2Q?</w:t>
      </w:r>
    </w:p>
    <w:p>
      <w:pPr>
        <w:pStyle w:val="FirstParagraph"/>
      </w:pPr>
      <w:r>
        <w:t xml:space="preserve">FAST closed July 13 at</w:t>
      </w:r>
      <w:r>
        <w:t xml:space="preserve"> </w:t>
      </w:r>
      <w:r>
        <w:rPr>
          <w:b/>
          <w:bCs/>
        </w:rPr>
        <w:t xml:space="preserve">$47.07</w:t>
      </w:r>
      <w:r>
        <w:t xml:space="preserve">, up</w:t>
      </w:r>
      <w:r>
        <w:t xml:space="preserve"> </w:t>
      </w:r>
      <w:r>
        <w:rPr>
          <w:b/>
          <w:bCs/>
        </w:rPr>
        <w:t xml:space="preserve">17.3%</w:t>
      </w:r>
      <w:r>
        <w:t xml:space="preserve"> </w:t>
      </w:r>
      <w:r>
        <w:t xml:space="preserve">from $40.13 at year-end 2025. The shares have recovered from their immediate post-1Q reaction: following the April 13 earnings release, the stock fell from $49.17 on April 10 to $44.62 by April 14—a roughly</w:t>
      </w:r>
      <w:r>
        <w:t xml:space="preserve"> </w:t>
      </w:r>
      <w:r>
        <w:rPr>
          <w:b/>
          <w:bCs/>
        </w:rPr>
        <w:t xml:space="preserve">9% two-session decline</w:t>
      </w:r>
      <w:r>
        <w:t xml:space="preserve">. That reaction illustrates the market’s sensitivity to margin and pricing execution, even when top-line performance is strong.</w:t>
      </w:r>
    </w:p>
    <w:p>
      <w:pPr>
        <w:pStyle w:val="BodyText"/>
      </w:pPr>
      <w:r>
        <w:t xml:space="preserve">The 2Q25 comparison is also meaningful: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2Q25 reported result</w:t>
            </w:r>
          </w:p>
        </w:tc>
        <w:tc>
          <w:tcPr/>
          <w:p>
            <w:pPr>
              <w:pStyle w:val="Compact"/>
              <w:jc w:val="right"/>
            </w:pPr>
            <w:r>
              <w:t xml:space="preserve">2Q26 implication</w:t>
            </w:r>
          </w:p>
        </w:tc>
      </w:tr>
      <w:tr>
        <w:tc>
          <w:tcPr/>
          <w:p>
            <w:pPr>
              <w:pStyle w:val="Compact"/>
            </w:pPr>
            <w:r>
              <w:t xml:space="preserve">Revenue</w:t>
            </w:r>
          </w:p>
        </w:tc>
        <w:tc>
          <w:tcPr/>
          <w:p>
            <w:pPr>
              <w:pStyle w:val="Compact"/>
              <w:jc w:val="right"/>
            </w:pPr>
            <w:r>
              <w:rPr>
                <w:b/>
                <w:bCs/>
              </w:rPr>
              <w:t xml:space="preserve">$2.08B</w:t>
            </w:r>
          </w:p>
        </w:tc>
      </w:tr>
      <w:tr>
        <w:tc>
          <w:tcPr/>
          <w:p>
            <w:pPr>
              <w:pStyle w:val="Compact"/>
            </w:pPr>
            <w:r>
              <w:t xml:space="preserve">Daily sales growth</w:t>
            </w:r>
          </w:p>
        </w:tc>
        <w:tc>
          <w:tcPr/>
          <w:p>
            <w:pPr>
              <w:pStyle w:val="Compact"/>
              <w:jc w:val="right"/>
            </w:pPr>
            <w:r>
              <w:rPr>
                <w:b/>
                <w:bCs/>
              </w:rPr>
              <w:t xml:space="preserve">+8.6%</w:t>
            </w:r>
          </w:p>
        </w:tc>
      </w:tr>
      <w:tr>
        <w:tc>
          <w:tcPr/>
          <w:p>
            <w:pPr>
              <w:pStyle w:val="Compact"/>
            </w:pPr>
            <w:r>
              <w:t xml:space="preserve">EPS</w:t>
            </w:r>
          </w:p>
        </w:tc>
        <w:tc>
          <w:tcPr/>
          <w:p>
            <w:pPr>
              <w:pStyle w:val="Compact"/>
              <w:jc w:val="right"/>
            </w:pPr>
            <w:r>
              <w:rPr>
                <w:b/>
                <w:bCs/>
              </w:rPr>
              <w:t xml:space="preserve">$0.29</w:t>
            </w:r>
          </w:p>
        </w:tc>
      </w:tr>
      <w:tr>
        <w:tc>
          <w:tcPr/>
          <w:p>
            <w:pPr>
              <w:pStyle w:val="Compact"/>
            </w:pPr>
            <w:r>
              <w:t xml:space="preserve">Gross margin</w:t>
            </w:r>
          </w:p>
        </w:tc>
        <w:tc>
          <w:tcPr/>
          <w:p>
            <w:pPr>
              <w:pStyle w:val="Compact"/>
              <w:jc w:val="right"/>
            </w:pPr>
            <w:r>
              <w:rPr>
                <w:b/>
                <w:bCs/>
              </w:rPr>
              <w:t xml:space="preserve">45.3%</w:t>
            </w:r>
          </w:p>
        </w:tc>
      </w:tr>
      <w:tr>
        <w:tc>
          <w:tcPr/>
          <w:p>
            <w:pPr>
              <w:pStyle w:val="Compact"/>
            </w:pPr>
            <w:r>
              <w:t xml:space="preserve">Operating margin</w:t>
            </w:r>
          </w:p>
        </w:tc>
        <w:tc>
          <w:tcPr/>
          <w:p>
            <w:pPr>
              <w:pStyle w:val="Compact"/>
              <w:jc w:val="right"/>
            </w:pPr>
            <w:r>
              <w:rPr>
                <w:b/>
                <w:bCs/>
              </w:rPr>
              <w:t xml:space="preserve">21.0%</w:t>
            </w:r>
          </w:p>
        </w:tc>
      </w:tr>
      <w:tr>
        <w:tc>
          <w:tcPr/>
          <w:p>
            <w:pPr>
              <w:pStyle w:val="Compact"/>
            </w:pPr>
            <w:r>
              <w:t xml:space="preserve">Contract sales growth</w:t>
            </w:r>
          </w:p>
        </w:tc>
        <w:tc>
          <w:tcPr/>
          <w:p>
            <w:pPr>
              <w:pStyle w:val="Compact"/>
              <w:jc w:val="right"/>
            </w:pPr>
            <w:r>
              <w:rPr>
                <w:b/>
                <w:bCs/>
              </w:rPr>
              <w:t xml:space="preserve">+11.0%</w:t>
            </w:r>
          </w:p>
        </w:tc>
      </w:tr>
      <w:tr>
        <w:tc>
          <w:tcPr/>
          <w:p>
            <w:pPr>
              <w:pStyle w:val="Compact"/>
            </w:pPr>
            <w:r>
              <w:t xml:space="preserve">FMI sales mix</w:t>
            </w:r>
          </w:p>
        </w:tc>
        <w:tc>
          <w:tcPr/>
          <w:p>
            <w:pPr>
              <w:pStyle w:val="Compact"/>
              <w:jc w:val="right"/>
            </w:pPr>
            <w:r>
              <w:rPr>
                <w:b/>
                <w:bCs/>
              </w:rPr>
              <w:t xml:space="preserve">44.1%</w:t>
            </w:r>
          </w:p>
        </w:tc>
      </w:tr>
    </w:tbl>
    <w:p>
      <w:pPr>
        <w:pStyle w:val="BodyText"/>
      </w:pPr>
      <w:r>
        <w:t xml:space="preserve">The year-ago quarter already contained improving contract-led growth and initial tariff pricing. Thus, 2Q26 needs to show that the company can maintain healthy organic growth against a stronger comparison while navigating more difficult price/cost dynamics.</w:t>
      </w:r>
    </w:p>
    <w:p>
      <w:r>
        <w:pict>
          <v:rect style="width:0;height:1.5pt" o:hralign="center" o:hrstd="t" o:hr="t"/>
        </w:pict>
      </w:r>
    </w:p>
    <w:bookmarkEnd w:id="10"/>
    <w:bookmarkStart w:id="13" w:name="Xa732620c41cd4a9f483ae45589e91d461a6e763"/>
    <w:p>
      <w:pPr>
        <w:pStyle w:val="Heading2"/>
      </w:pPr>
      <w:r>
        <w:t xml:space="preserve">The central issue: price/cost and gross margin</w:t>
      </w:r>
    </w:p>
    <w:bookmarkStart w:id="11" w:name="why-margins-are-the-swing-factor"/>
    <w:p>
      <w:pPr>
        <w:pStyle w:val="Heading3"/>
      </w:pPr>
      <w:r>
        <w:t xml:space="preserve">Why margins are the swing factor</w:t>
      </w:r>
    </w:p>
    <w:p>
      <w:pPr>
        <w:pStyle w:val="FirstParagraph"/>
      </w:pPr>
      <w:r>
        <w:t xml:space="preserve">In 1Q26, Fastenal reported:</w:t>
      </w:r>
    </w:p>
    <w:p>
      <w:pPr>
        <w:pStyle w:val="Compact"/>
        <w:numPr>
          <w:ilvl w:val="0"/>
          <w:numId w:val="1001"/>
        </w:numPr>
      </w:pPr>
      <w:r>
        <w:rPr>
          <w:b/>
          <w:bCs/>
        </w:rPr>
        <w:t xml:space="preserve">Gross margin of 44.6%</w:t>
      </w:r>
      <w:r>
        <w:t xml:space="preserve">, down from 45.1% a year earlier.</w:t>
      </w:r>
    </w:p>
    <w:p>
      <w:pPr>
        <w:pStyle w:val="Compact"/>
        <w:numPr>
          <w:ilvl w:val="0"/>
          <w:numId w:val="1001"/>
        </w:numPr>
      </w:pPr>
      <w:r>
        <w:t xml:space="preserve">Approximately</w:t>
      </w:r>
      <w:r>
        <w:t xml:space="preserve"> </w:t>
      </w:r>
      <w:r>
        <w:rPr>
          <w:b/>
          <w:bCs/>
        </w:rPr>
        <w:t xml:space="preserve">50 bp of unfavorable price/cost</w:t>
      </w:r>
      <w:r>
        <w:t xml:space="preserve">, plus smaller transportation and rebate headwinds.</w:t>
      </w:r>
    </w:p>
    <w:p>
      <w:pPr>
        <w:pStyle w:val="Compact"/>
        <w:numPr>
          <w:ilvl w:val="0"/>
          <w:numId w:val="1001"/>
        </w:numPr>
      </w:pPr>
      <w:r>
        <w:rPr>
          <w:b/>
          <w:bCs/>
        </w:rPr>
        <w:t xml:space="preserve">Operating margin of 20.3%</w:t>
      </w:r>
      <w:r>
        <w:t xml:space="preserve">, still up 20 bp year over year because SG&amp;A leverage offset gross-margin pressure.</w:t>
      </w:r>
    </w:p>
    <w:p>
      <w:pPr>
        <w:pStyle w:val="Compact"/>
        <w:numPr>
          <w:ilvl w:val="0"/>
          <w:numId w:val="1001"/>
        </w:numPr>
      </w:pPr>
      <w:r>
        <w:t xml:space="preserve">Pricing realization of roughly</w:t>
      </w:r>
      <w:r>
        <w:t xml:space="preserve"> </w:t>
      </w:r>
      <w:r>
        <w:rPr>
          <w:b/>
          <w:bCs/>
        </w:rPr>
        <w:t xml:space="preserve">3.5%</w:t>
      </w:r>
      <w:r>
        <w:t xml:space="preserve">, which management said was not sufficient to keep up with cost inflation.</w:t>
      </w:r>
    </w:p>
    <w:p>
      <w:pPr>
        <w:pStyle w:val="FirstParagraph"/>
      </w:pPr>
      <w:r>
        <w:t xml:space="preserve">Management characterized the 1Q shortfall as principally a timing issue: supplier and tariff-related costs moved through inventory and the P&amp;L faster than customer pricing could be implemented. The challenge is concentrated more in branded categories such as safety and cutting tools than in fasteners, where Fastenal has better inventory visibility and more control over sourcing.</w:t>
      </w:r>
    </w:p>
    <w:p>
      <w:pPr>
        <w:pStyle w:val="BodyText"/>
      </w:pPr>
      <w:r>
        <w:t xml:space="preserve">The most important statement from the 1Q call was simple:</w:t>
      </w:r>
      <w:r>
        <w:t xml:space="preserve"> </w:t>
      </w:r>
      <w:r>
        <w:rPr>
          <w:b/>
          <w:bCs/>
        </w:rPr>
        <w:t xml:space="preserve">“Q2 is challenging.”</w:t>
      </w:r>
      <w:r>
        <w:t xml:space="preserve"> </w:t>
      </w:r>
      <w:r>
        <w:t xml:space="preserve">Management’s confidence improved looking toward 3Q and 4Q, but investors will want evidence that the recovery is beginning—not merely deferred.</w:t>
      </w:r>
    </w:p>
    <w:bookmarkEnd w:id="11"/>
    <w:bookmarkStart w:id="12" w:name="what-investors-should-want-to-hear"/>
    <w:p>
      <w:pPr>
        <w:pStyle w:val="Heading3"/>
      </w:pPr>
      <w:r>
        <w:t xml:space="preserve">What investors should want to hear</w:t>
      </w:r>
    </w:p>
    <w:p>
      <w:pPr>
        <w:numPr>
          <w:ilvl w:val="0"/>
          <w:numId w:val="1002"/>
        </w:numPr>
      </w:pPr>
      <w:r>
        <w:rPr>
          <w:b/>
          <w:bCs/>
        </w:rPr>
        <w:t xml:space="preserve">Sequential improvement in price/cost.</w:t>
      </w:r>
      <w:r>
        <w:br/>
      </w:r>
      <w:r>
        <w:t xml:space="preserve">Management does not need to declare full neutrality in 2Q, but it should indicate that the first-quarter gap is narrowing.</w:t>
      </w:r>
    </w:p>
    <w:p>
      <w:pPr>
        <w:numPr>
          <w:ilvl w:val="0"/>
          <w:numId w:val="1002"/>
        </w:numPr>
      </w:pPr>
      <w:r>
        <w:rPr>
          <w:b/>
          <w:bCs/>
        </w:rPr>
        <w:t xml:space="preserve">A credible 2H bridge.</w:t>
      </w:r>
      <w:r>
        <w:br/>
      </w:r>
      <w:r>
        <w:t xml:space="preserve">Investors will focus on the timing of contractual price resets, supplier-cost stabilization, and the expected plateau in tariff-related inventory costs.</w:t>
      </w:r>
    </w:p>
    <w:p>
      <w:pPr>
        <w:numPr>
          <w:ilvl w:val="0"/>
          <w:numId w:val="1002"/>
        </w:numPr>
      </w:pPr>
      <w:r>
        <w:rPr>
          <w:b/>
          <w:bCs/>
        </w:rPr>
        <w:t xml:space="preserve">No deterioration in gross-margin rate beyond expectations.</w:t>
      </w:r>
      <w:r>
        <w:br/>
      </w:r>
      <w:r>
        <w:t xml:space="preserve">The risk is that a high-growth quarter produces disappointing earnings quality if price/cost, freight, rebates, or mix pressure worsens.</w:t>
      </w:r>
    </w:p>
    <w:p>
      <w:pPr>
        <w:numPr>
          <w:ilvl w:val="0"/>
          <w:numId w:val="1002"/>
        </w:numPr>
      </w:pPr>
      <w:r>
        <w:rPr>
          <w:b/>
          <w:bCs/>
        </w:rPr>
        <w:t xml:space="preserve">Validation of incremental-margin expectations.</w:t>
      </w:r>
      <w:r>
        <w:br/>
      </w:r>
      <w:r>
        <w:t xml:space="preserve">Management reaffirmed in April that high-20s incremental operating margins remained achievable for 2026. Reaffirmation—or a clear explanation of how it is being preserved—would be constructive.</w:t>
      </w:r>
    </w:p>
    <w:p>
      <w:r>
        <w:pict>
          <v:rect style="width:0;height:1.5pt" o:hralign="center" o:hrstd="t" o:hr="t"/>
        </w:pict>
      </w:r>
    </w:p>
    <w:bookmarkEnd w:id="12"/>
    <w:bookmarkEnd w:id="13"/>
    <w:bookmarkStart w:id="17" w:name="why-the-revenue-setup-remains-favorable"/>
    <w:p>
      <w:pPr>
        <w:pStyle w:val="Heading2"/>
      </w:pPr>
      <w:r>
        <w:t xml:space="preserve">Why the revenue setup remains favorable</w:t>
      </w:r>
    </w:p>
    <w:bookmarkStart w:id="14" w:name="X513ec93f324c46360b0ca33e8350e19c93b8b9b"/>
    <w:p>
      <w:pPr>
        <w:pStyle w:val="Heading3"/>
      </w:pPr>
      <w:r>
        <w:t xml:space="preserve">1. Contract customers are carrying the growth engine</w:t>
      </w:r>
    </w:p>
    <w:p>
      <w:pPr>
        <w:pStyle w:val="FirstParagraph"/>
      </w:pPr>
      <w:r>
        <w:t xml:space="preserve">In 1Q26, contract-customer sales rose</w:t>
      </w:r>
      <w:r>
        <w:t xml:space="preserve"> </w:t>
      </w:r>
      <w:r>
        <w:rPr>
          <w:b/>
          <w:bCs/>
        </w:rPr>
        <w:t xml:space="preserve">14.6%</w:t>
      </w:r>
      <w:r>
        <w:t xml:space="preserve"> </w:t>
      </w:r>
      <w:r>
        <w:t xml:space="preserve">and represented</w:t>
      </w:r>
      <w:r>
        <w:t xml:space="preserve"> </w:t>
      </w:r>
      <w:r>
        <w:rPr>
          <w:b/>
          <w:bCs/>
        </w:rPr>
        <w:t xml:space="preserve">75.4% of sales</w:t>
      </w:r>
      <w:r>
        <w:t xml:space="preserve">, versus 73.1% in the prior year. Non-contract sales grew only</w:t>
      </w:r>
      <w:r>
        <w:t xml:space="preserve"> </w:t>
      </w:r>
      <w:r>
        <w:rPr>
          <w:b/>
          <w:bCs/>
        </w:rPr>
        <w:t xml:space="preserve">6.7%</w:t>
      </w:r>
      <w:r>
        <w:t xml:space="preserve">.</w:t>
      </w:r>
    </w:p>
    <w:p>
      <w:pPr>
        <w:pStyle w:val="BodyText"/>
      </w:pPr>
      <w:r>
        <w:t xml:space="preserve">This split matters because Fastenal’s strategic focus is working: it is embedding itself more deeply with larger, multi-site customers where vending, inventory management, procurement integration, and local service create higher switching costs. Contract wins signed over prior quarters continue to ramp into revenue.</w:t>
      </w:r>
    </w:p>
    <w:p>
      <w:pPr>
        <w:pStyle w:val="BodyText"/>
      </w:pPr>
      <w:r>
        <w:t xml:space="preserve">For 2Q, watch for:</w:t>
      </w:r>
    </w:p>
    <w:p>
      <w:pPr>
        <w:pStyle w:val="Compact"/>
        <w:numPr>
          <w:ilvl w:val="0"/>
          <w:numId w:val="1003"/>
        </w:numPr>
      </w:pPr>
      <w:r>
        <w:t xml:space="preserve">Total contract count and new contract signings;</w:t>
      </w:r>
    </w:p>
    <w:p>
      <w:pPr>
        <w:pStyle w:val="Compact"/>
        <w:numPr>
          <w:ilvl w:val="0"/>
          <w:numId w:val="1003"/>
        </w:numPr>
      </w:pPr>
      <w:r>
        <w:t xml:space="preserve">The pace of revenue conversion from recently signed accounts;</w:t>
      </w:r>
    </w:p>
    <w:p>
      <w:pPr>
        <w:pStyle w:val="Compact"/>
        <w:numPr>
          <w:ilvl w:val="0"/>
          <w:numId w:val="1003"/>
        </w:numPr>
      </w:pPr>
      <w:r>
        <w:t xml:space="preserve">Whether non-contract growth improves, which would indicate a broader industrial recovery rather than purely company-specific share gains.</w:t>
      </w:r>
    </w:p>
    <w:bookmarkEnd w:id="14"/>
    <w:bookmarkStart w:id="15" w:name="X92d71c4fa96d6e3fbfed33d8574607a23b50cee"/>
    <w:p>
      <w:pPr>
        <w:pStyle w:val="Heading3"/>
      </w:pPr>
      <w:r>
        <w:t xml:space="preserve">2. Large customer-site growth is strong—and valuable</w:t>
      </w:r>
    </w:p>
    <w:p>
      <w:pPr>
        <w:pStyle w:val="FirstParagraph"/>
      </w:pPr>
      <w:r>
        <w:t xml:space="preserve">Fastenal’s $50,000-plus monthly customer sites—the closest proxy for larger Onsite-like relationships—are the company’s most important growth cohort.</w:t>
      </w:r>
    </w:p>
    <w:p>
      <w:pPr>
        <w:pStyle w:val="BodyText"/>
      </w:pPr>
      <w:r>
        <w:t xml:space="preserve">In 1Q26:</w:t>
      </w:r>
    </w:p>
    <w:p>
      <w:pPr>
        <w:pStyle w:val="Compact"/>
        <w:numPr>
          <w:ilvl w:val="0"/>
          <w:numId w:val="1004"/>
        </w:numPr>
      </w:pPr>
      <w:r>
        <w:t xml:space="preserve">The number of $50K+ sites rose to</w:t>
      </w:r>
      <w:r>
        <w:t xml:space="preserve"> </w:t>
      </w:r>
      <w:r>
        <w:rPr>
          <w:b/>
          <w:bCs/>
        </w:rPr>
        <w:t xml:space="preserve">2,909</w:t>
      </w:r>
      <w:r>
        <w:t xml:space="preserve">, up</w:t>
      </w:r>
      <w:r>
        <w:t xml:space="preserve"> </w:t>
      </w:r>
      <w:r>
        <w:rPr>
          <w:b/>
          <w:bCs/>
        </w:rPr>
        <w:t xml:space="preserve">16.3%</w:t>
      </w:r>
      <w:r>
        <w:t xml:space="preserve"> </w:t>
      </w:r>
      <w:r>
        <w:t xml:space="preserve">year over year.</w:t>
      </w:r>
    </w:p>
    <w:p>
      <w:pPr>
        <w:pStyle w:val="Compact"/>
        <w:numPr>
          <w:ilvl w:val="0"/>
          <w:numId w:val="1004"/>
        </w:numPr>
      </w:pPr>
      <w:r>
        <w:t xml:space="preserve">Sales through those sites increased to</w:t>
      </w:r>
      <w:r>
        <w:t xml:space="preserve"> </w:t>
      </w:r>
      <w:r>
        <w:rPr>
          <w:b/>
          <w:bCs/>
        </w:rPr>
        <w:t xml:space="preserve">$1.225B</w:t>
      </w:r>
      <w:r>
        <w:t xml:space="preserve">, implying growth of more than 20%.</w:t>
      </w:r>
    </w:p>
    <w:p>
      <w:pPr>
        <w:pStyle w:val="Compact"/>
        <w:numPr>
          <w:ilvl w:val="0"/>
          <w:numId w:val="1004"/>
        </w:numPr>
      </w:pPr>
      <w:r>
        <w:t xml:space="preserve">Average monthly sales per</w:t>
      </w:r>
      <w:r>
        <w:t xml:space="preserve"> </w:t>
      </w:r>
      <m:oMath>
        <m:r>
          <m:t>50</m:t>
        </m:r>
        <m:r>
          <m:t>K</m:t>
        </m:r>
        <m:r>
          <m:rPr>
            <m:sty m:val="p"/>
          </m:rPr>
          <m:t>+</m:t>
        </m:r>
        <m:r>
          <m:t>s</m:t>
        </m:r>
        <m:r>
          <m:t>i</m:t>
        </m:r>
        <m:r>
          <m:t>t</m:t>
        </m:r>
        <m:r>
          <m:t>e</m:t>
        </m:r>
        <m:r>
          <m:t>r</m:t>
        </m:r>
        <m:r>
          <m:t>o</m:t>
        </m:r>
        <m:r>
          <m:t>s</m:t>
        </m:r>
        <m:r>
          <m:t>e</m:t>
        </m:r>
        <m:r>
          <m:t>t</m:t>
        </m:r>
        <m:r>
          <m:t>o</m:t>
        </m:r>
        <m:r>
          <m:rPr>
            <m:sty m:val="p"/>
          </m:rPr>
          <m:t>*</m:t>
        </m:r>
        <m:r>
          <m:rPr>
            <m:sty m:val="p"/>
          </m:rPr>
          <m:t>*</m:t>
        </m:r>
      </m:oMath>
      <w:r>
        <w:t xml:space="preserve">140,346** from $134,639.</w:t>
      </w:r>
    </w:p>
    <w:p>
      <w:pPr>
        <w:pStyle w:val="FirstParagraph"/>
      </w:pPr>
      <w:r>
        <w:t xml:space="preserve">This combination—more large sites and higher spend per site—is the clearest evidence that Fastenal is gaining wallet share, not simply adding accounts. It is also the source of the company’s gross-margin tradeoff: large customers tend to carry lower gross margins, but can be highly attractive at the operating-income level because of fixed-cost leverage and more efficient servicing.</w:t>
      </w:r>
    </w:p>
    <w:bookmarkEnd w:id="15"/>
    <w:bookmarkStart w:id="16" w:name="X642f31b07d980eeb21befdf02b07135059f29c0"/>
    <w:p>
      <w:pPr>
        <w:pStyle w:val="Heading3"/>
      </w:pPr>
      <w:r>
        <w:t xml:space="preserve">3. End-market performance broadened in 1Q</w:t>
      </w:r>
    </w:p>
    <w:p>
      <w:pPr>
        <w:pStyle w:val="FirstParagraph"/>
      </w:pPr>
      <w:r>
        <w:t xml:space="preserve">Fastenal’s growth in 1Q was broad-based:</w:t>
      </w:r>
    </w:p>
    <w:p>
      <w:pPr>
        <w:pStyle w:val="Compact"/>
        <w:numPr>
          <w:ilvl w:val="0"/>
          <w:numId w:val="1005"/>
        </w:numPr>
      </w:pPr>
      <w:r>
        <w:rPr>
          <w:b/>
          <w:bCs/>
        </w:rPr>
        <w:t xml:space="preserve">Heavy manufacturing:</w:t>
      </w:r>
      <w:r>
        <w:t xml:space="preserve"> </w:t>
      </w:r>
      <w:r>
        <w:t xml:space="preserve">+14.1% daily sales growth; 44.0% of revenue.</w:t>
      </w:r>
    </w:p>
    <w:p>
      <w:pPr>
        <w:pStyle w:val="Compact"/>
        <w:numPr>
          <w:ilvl w:val="0"/>
          <w:numId w:val="1005"/>
        </w:numPr>
      </w:pPr>
      <w:r>
        <w:rPr>
          <w:b/>
          <w:bCs/>
        </w:rPr>
        <w:t xml:space="preserve">Other manufacturing:</w:t>
      </w:r>
      <w:r>
        <w:t xml:space="preserve"> </w:t>
      </w:r>
      <w:r>
        <w:t xml:space="preserve">+9.9%; 32.2% of revenue.</w:t>
      </w:r>
    </w:p>
    <w:p>
      <w:pPr>
        <w:pStyle w:val="Compact"/>
        <w:numPr>
          <w:ilvl w:val="0"/>
          <w:numId w:val="1005"/>
        </w:numPr>
      </w:pPr>
      <w:r>
        <w:rPr>
          <w:b/>
          <w:bCs/>
        </w:rPr>
        <w:t xml:space="preserve">Non-residential construction:</w:t>
      </w:r>
      <w:r>
        <w:t xml:space="preserve"> </w:t>
      </w:r>
      <w:r>
        <w:t xml:space="preserve">+17.2%; 8.2% of revenue.</w:t>
      </w:r>
    </w:p>
    <w:p>
      <w:pPr>
        <w:pStyle w:val="Compact"/>
        <w:numPr>
          <w:ilvl w:val="0"/>
          <w:numId w:val="1005"/>
        </w:numPr>
      </w:pPr>
      <w:r>
        <w:rPr>
          <w:b/>
          <w:bCs/>
        </w:rPr>
        <w:t xml:space="preserve">Other end markets:</w:t>
      </w:r>
      <w:r>
        <w:t xml:space="preserve"> </w:t>
      </w:r>
      <w:r>
        <w:t xml:space="preserve">+11.3%, aided by transportation and warehousing.</w:t>
      </w:r>
    </w:p>
    <w:p>
      <w:pPr>
        <w:pStyle w:val="FirstParagraph"/>
      </w:pPr>
      <w:r>
        <w:t xml:space="preserve">The notable item is non-residential construction. It had been a weak area for the company for several years, but is now showing a more durable recovery. Management also cited activity in infrastructure, commercial development, transportation, warehousing, and data centers.</w:t>
      </w:r>
    </w:p>
    <w:p>
      <w:pPr>
        <w:pStyle w:val="BodyText"/>
      </w:pPr>
      <w:r>
        <w:t xml:space="preserve">For 2Q, Fastenal does not need every end market to accelerate. But broad participation—especially in heavy manufacturing, construction, and non-manufacturing large accounts—would support the argument that its share gains are durable rather than narrowly concentrated.</w:t>
      </w:r>
    </w:p>
    <w:p>
      <w:r>
        <w:pict>
          <v:rect style="width:0;height:1.5pt" o:hralign="center" o:hrstd="t" o:hr="t"/>
        </w:pict>
      </w:r>
    </w:p>
    <w:bookmarkEnd w:id="16"/>
    <w:bookmarkEnd w:id="17"/>
    <w:bookmarkStart w:id="18" w:name="X6e47d21f444ab2a195212ea09704e5696db15e6"/>
    <w:p>
      <w:pPr>
        <w:pStyle w:val="Heading2"/>
      </w:pPr>
      <w:r>
        <w:t xml:space="preserve">Digital and FMI: a durable quality indicator</w:t>
      </w:r>
    </w:p>
    <w:p>
      <w:pPr>
        <w:pStyle w:val="FirstParagraph"/>
      </w:pPr>
      <w:r>
        <w:t xml:space="preserve">Fastenal’s technology offerings are central to its differentiation and customer stickiness.</w:t>
      </w:r>
    </w:p>
    <w:p>
      <w:pPr>
        <w:pStyle w:val="BodyText"/>
      </w:pPr>
      <w:r>
        <w:t xml:space="preserve">In 1Q26:</w:t>
      </w:r>
    </w:p>
    <w:p>
      <w:pPr>
        <w:pStyle w:val="Compact"/>
        <w:numPr>
          <w:ilvl w:val="0"/>
          <w:numId w:val="1006"/>
        </w:numPr>
      </w:pPr>
      <w:r>
        <w:t xml:space="preserve">FMI sales rose</w:t>
      </w:r>
      <w:r>
        <w:t xml:space="preserve"> </w:t>
      </w:r>
      <w:r>
        <w:rPr>
          <w:b/>
          <w:bCs/>
        </w:rPr>
        <w:t xml:space="preserve">16.6%</w:t>
      </w:r>
      <w:r>
        <w:t xml:space="preserve"> </w:t>
      </w:r>
      <w:r>
        <w:t xml:space="preserve">and reached</w:t>
      </w:r>
      <w:r>
        <w:t xml:space="preserve"> </w:t>
      </w:r>
      <w:r>
        <w:rPr>
          <w:b/>
          <w:bCs/>
        </w:rPr>
        <w:t xml:space="preserve">44.9% of total sales</w:t>
      </w:r>
      <w:r>
        <w:t xml:space="preserve">.</w:t>
      </w:r>
    </w:p>
    <w:p>
      <w:pPr>
        <w:pStyle w:val="Compact"/>
        <w:numPr>
          <w:ilvl w:val="0"/>
          <w:numId w:val="1006"/>
        </w:numPr>
      </w:pPr>
      <w:r>
        <w:t xml:space="preserve">Digital Footprint sales rose</w:t>
      </w:r>
      <w:r>
        <w:t xml:space="preserve"> </w:t>
      </w:r>
      <w:r>
        <w:rPr>
          <w:b/>
          <w:bCs/>
        </w:rPr>
        <w:t xml:space="preserve">13.6%</w:t>
      </w:r>
      <w:r>
        <w:t xml:space="preserve"> </w:t>
      </w:r>
      <w:r>
        <w:t xml:space="preserve">and represented</w:t>
      </w:r>
      <w:r>
        <w:t xml:space="preserve"> </w:t>
      </w:r>
      <w:r>
        <w:rPr>
          <w:b/>
          <w:bCs/>
        </w:rPr>
        <w:t xml:space="preserve">61.5% of sales</w:t>
      </w:r>
      <w:r>
        <w:t xml:space="preserve">.</w:t>
      </w:r>
    </w:p>
    <w:p>
      <w:pPr>
        <w:pStyle w:val="Compact"/>
        <w:numPr>
          <w:ilvl w:val="0"/>
          <w:numId w:val="1006"/>
        </w:numPr>
      </w:pPr>
      <w:r>
        <w:t xml:space="preserve">FASTBin/FASTVend signings were</w:t>
      </w:r>
      <w:r>
        <w:t xml:space="preserve"> </w:t>
      </w:r>
      <w:r>
        <w:rPr>
          <w:b/>
          <w:bCs/>
        </w:rPr>
        <w:t xml:space="preserve">6,950</w:t>
      </w:r>
      <w:r>
        <w:t xml:space="preserve">, up</w:t>
      </w:r>
      <w:r>
        <w:t xml:space="preserve"> </w:t>
      </w:r>
      <w:r>
        <w:rPr>
          <w:b/>
          <w:bCs/>
        </w:rPr>
        <w:t xml:space="preserve">8.3%</w:t>
      </w:r>
      <w:r>
        <w:t xml:space="preserve"> </w:t>
      </w:r>
      <w:r>
        <w:t xml:space="preserve">year over year.</w:t>
      </w:r>
    </w:p>
    <w:p>
      <w:pPr>
        <w:pStyle w:val="Compact"/>
        <w:numPr>
          <w:ilvl w:val="0"/>
          <w:numId w:val="1006"/>
        </w:numPr>
      </w:pPr>
      <w:r>
        <w:t xml:space="preserve">Installed weighted FMI devices reached</w:t>
      </w:r>
      <w:r>
        <w:t xml:space="preserve"> </w:t>
      </w:r>
      <w:r>
        <w:rPr>
          <w:b/>
          <w:bCs/>
        </w:rPr>
        <w:t xml:space="preserve">137,702</w:t>
      </w:r>
      <w:r>
        <w:t xml:space="preserve">, up</w:t>
      </w:r>
      <w:r>
        <w:t xml:space="preserve"> </w:t>
      </w:r>
      <w:r>
        <w:rPr>
          <w:b/>
          <w:bCs/>
        </w:rPr>
        <w:t xml:space="preserve">5.9%</w:t>
      </w:r>
      <w:r>
        <w:t xml:space="preserve">.</w:t>
      </w:r>
    </w:p>
    <w:p>
      <w:pPr>
        <w:pStyle w:val="FirstParagraph"/>
      </w:pPr>
      <w:r>
        <w:t xml:space="preserve">Management’s 2026 target remains</w:t>
      </w:r>
      <w:r>
        <w:t xml:space="preserve"> </w:t>
      </w:r>
      <w:r>
        <w:rPr>
          <w:b/>
          <w:bCs/>
        </w:rPr>
        <w:t xml:space="preserve">28,000–30,000</w:t>
      </w:r>
      <w:r>
        <w:t xml:space="preserve"> </w:t>
      </w:r>
      <w:r>
        <w:t xml:space="preserve">weighted FASTBin/FASTVend device signings. After 6,950 signings in 1Q, the company needs a healthy acceleration through the balance of the year to land near the midpoint of that objective.</w:t>
      </w:r>
    </w:p>
    <w:p>
      <w:pPr>
        <w:pStyle w:val="BodyText"/>
      </w:pPr>
      <w:r>
        <w:t xml:space="preserve">For 2Q, the most constructive outcome would be:</w:t>
      </w:r>
    </w:p>
    <w:p>
      <w:pPr>
        <w:pStyle w:val="Compact"/>
        <w:numPr>
          <w:ilvl w:val="0"/>
          <w:numId w:val="1007"/>
        </w:numPr>
      </w:pPr>
      <w:r>
        <w:t xml:space="preserve">Signings comfortably above the 1Q pace;</w:t>
      </w:r>
    </w:p>
    <w:p>
      <w:pPr>
        <w:pStyle w:val="Compact"/>
        <w:numPr>
          <w:ilvl w:val="0"/>
          <w:numId w:val="1007"/>
        </w:numPr>
      </w:pPr>
      <w:r>
        <w:t xml:space="preserve">Continued FMI sales growth above company sales growth;</w:t>
      </w:r>
    </w:p>
    <w:p>
      <w:pPr>
        <w:pStyle w:val="Compact"/>
        <w:numPr>
          <w:ilvl w:val="0"/>
          <w:numId w:val="1007"/>
        </w:numPr>
      </w:pPr>
      <w:r>
        <w:t xml:space="preserve">Digital mix continuing to move toward management’s longer-term target.</w:t>
      </w:r>
    </w:p>
    <w:p>
      <w:pPr>
        <w:pStyle w:val="FirstParagraph"/>
      </w:pPr>
      <w:r>
        <w:t xml:space="preserve">A weaker signings figure would not necessarily break the thesis—implementation timing can be lumpy—but it would reduce confidence in future embedded-growth capacity.</w:t>
      </w:r>
    </w:p>
    <w:p>
      <w:r>
        <w:pict>
          <v:rect style="width:0;height:1.5pt" o:hralign="center" o:hrstd="t" o:hr="t"/>
        </w:pict>
      </w:r>
    </w:p>
    <w:bookmarkEnd w:id="18"/>
    <w:bookmarkStart w:id="19" w:name="what-a-good-2q-print-looks-like"/>
    <w:p>
      <w:pPr>
        <w:pStyle w:val="Heading2"/>
      </w:pPr>
      <w:r>
        <w:t xml:space="preserve">What a good 2Q print looks like</w:t>
      </w:r>
    </w:p>
    <w:p>
      <w:pPr>
        <w:pStyle w:val="FirstParagraph"/>
      </w:pPr>
      <w:r>
        <w:t xml:space="preserve">A favorable earnings outcome would likely include:</w:t>
      </w:r>
    </w:p>
    <w:p>
      <w:pPr>
        <w:pStyle w:val="Compact"/>
        <w:numPr>
          <w:ilvl w:val="0"/>
          <w:numId w:val="1008"/>
        </w:numPr>
      </w:pPr>
      <w:r>
        <w:rPr>
          <w:b/>
          <w:bCs/>
        </w:rPr>
        <w:t xml:space="preserve">Double-digit daily sales growth</w:t>
      </w:r>
      <w:r>
        <w:t xml:space="preserve">, supported primarily by contract conversion, larger customer sites, and share gains;</w:t>
      </w:r>
    </w:p>
    <w:p>
      <w:pPr>
        <w:pStyle w:val="Compact"/>
        <w:numPr>
          <w:ilvl w:val="0"/>
          <w:numId w:val="1008"/>
        </w:numPr>
      </w:pPr>
      <w:r>
        <w:t xml:space="preserve">Continued strength in heavy manufacturing and non-residential construction;</w:t>
      </w:r>
    </w:p>
    <w:p>
      <w:pPr>
        <w:pStyle w:val="Compact"/>
        <w:numPr>
          <w:ilvl w:val="0"/>
          <w:numId w:val="1008"/>
        </w:numPr>
      </w:pPr>
      <w:r>
        <w:t xml:space="preserve">Contract sales again materially outgrowing non-contract sales;</w:t>
      </w:r>
    </w:p>
    <w:p>
      <w:pPr>
        <w:pStyle w:val="Compact"/>
        <w:numPr>
          <w:ilvl w:val="0"/>
          <w:numId w:val="1008"/>
        </w:numPr>
      </w:pPr>
      <w:r>
        <w:t xml:space="preserve">FMI signings and installed base progressing toward the full-year device target;</w:t>
      </w:r>
    </w:p>
    <w:p>
      <w:pPr>
        <w:pStyle w:val="Compact"/>
        <w:numPr>
          <w:ilvl w:val="0"/>
          <w:numId w:val="1008"/>
        </w:numPr>
      </w:pPr>
      <w:r>
        <w:t xml:space="preserve">Gross margin that is stable to modestly better sequentially, with a clear message that price/cost is improving;</w:t>
      </w:r>
    </w:p>
    <w:p>
      <w:pPr>
        <w:pStyle w:val="Compact"/>
        <w:numPr>
          <w:ilvl w:val="0"/>
          <w:numId w:val="1008"/>
        </w:numPr>
      </w:pPr>
      <w:r>
        <w:t xml:space="preserve">Continued SG&amp;A leverage despite ongoing investment in sales, IT, hubs, automation, and FMI hardware;</w:t>
      </w:r>
    </w:p>
    <w:p>
      <w:pPr>
        <w:pStyle w:val="Compact"/>
        <w:numPr>
          <w:ilvl w:val="0"/>
          <w:numId w:val="1008"/>
        </w:numPr>
      </w:pPr>
      <w:r>
        <w:t xml:space="preserve">Reaffirmation of approximately</w:t>
      </w:r>
      <w:r>
        <w:t xml:space="preserve"> </w:t>
      </w:r>
      <m:oMath>
        <m:r>
          <m:t>310</m:t>
        </m:r>
        <m:r>
          <m:t>M</m:t>
        </m:r>
        <m:r>
          <m:rPr>
            <m:sty m:val="p"/>
          </m:rPr>
          <m:t>–</m:t>
        </m:r>
      </m:oMath>
      <w:r>
        <w:rPr>
          <w:b/>
          <w:bCs/>
        </w:rPr>
        <w:t xml:space="preserve">330M</w:t>
      </w:r>
      <w:r>
        <w:t xml:space="preserve"> </w:t>
      </w:r>
      <w:r>
        <w:t xml:space="preserve">in 2026 capex and confidence that the investment cycle supports future efficiency and growth;</w:t>
      </w:r>
    </w:p>
    <w:p>
      <w:pPr>
        <w:pStyle w:val="Compact"/>
        <w:numPr>
          <w:ilvl w:val="0"/>
          <w:numId w:val="1008"/>
        </w:numPr>
      </w:pPr>
      <w:r>
        <w:t xml:space="preserve">A more constructive tone on 3Q/4Q margin progression.</w:t>
      </w:r>
    </w:p>
    <w:p>
      <w:r>
        <w:pict>
          <v:rect style="width:0;height:1.5pt" o:hralign="center" o:hrstd="t" o:hr="t"/>
        </w:pict>
      </w:r>
    </w:p>
    <w:bookmarkEnd w:id="19"/>
    <w:bookmarkStart w:id="25" w:name="what-could-disappoint"/>
    <w:p>
      <w:pPr>
        <w:pStyle w:val="Heading2"/>
      </w:pPr>
      <w:r>
        <w:t xml:space="preserve">What could disappoint</w:t>
      </w:r>
    </w:p>
    <w:bookmarkStart w:id="20" w:name="Xd5791a640fdedd2ae503885af3bfda09bdb1487"/>
    <w:p>
      <w:pPr>
        <w:pStyle w:val="Heading3"/>
      </w:pPr>
      <w:r>
        <w:t xml:space="preserve">1. Another material price/cost miss</w:t>
      </w:r>
    </w:p>
    <w:p>
      <w:pPr>
        <w:pStyle w:val="FirstParagraph"/>
      </w:pPr>
      <w:r>
        <w:t xml:space="preserve">The largest downside risk is that Fastenal again reports pricing trailing supplier-cost inflation, particularly in branded safety, cutting-tool, and other indirect categories. This would call into question the timing of gross-margin recovery.</w:t>
      </w:r>
    </w:p>
    <w:bookmarkEnd w:id="20"/>
    <w:bookmarkStart w:id="21" w:name="X03eba2ecc91d0899e74c70a2b5f0ccdfb19cb3e"/>
    <w:p>
      <w:pPr>
        <w:pStyle w:val="Heading3"/>
      </w:pPr>
      <w:r>
        <w:t xml:space="preserve">2. Strong sales but weak earnings quality</w:t>
      </w:r>
    </w:p>
    <w:p>
      <w:pPr>
        <w:pStyle w:val="FirstParagraph"/>
      </w:pPr>
      <w:r>
        <w:t xml:space="preserve">Fastenal can deliver strong reported revenue while mix, rebates, freight, tariffs, and customer pricing pressure compress gross margin. Given the stock’s valuation sensitivity to execution, revenue growth alone may not be sufficient.</w:t>
      </w:r>
    </w:p>
    <w:bookmarkEnd w:id="21"/>
    <w:bookmarkStart w:id="22" w:name="X052a5427de504a2deb6f59761c9498b218ad0fa"/>
    <w:p>
      <w:pPr>
        <w:pStyle w:val="Heading3"/>
      </w:pPr>
      <w:r>
        <w:t xml:space="preserve">3. Large-site growth slows</w:t>
      </w:r>
    </w:p>
    <w:p>
      <w:pPr>
        <w:pStyle w:val="FirstParagraph"/>
      </w:pPr>
      <w:r>
        <w:t xml:space="preserve">The expansion in $50K+ customer sites has been a major driver of share gains. A slowdown in site additions or spend per site would raise concerns around the sales pipeline and conversion of contract wins.</w:t>
      </w:r>
    </w:p>
    <w:bookmarkEnd w:id="22"/>
    <w:bookmarkStart w:id="23" w:name="X73de525149f5ea1e7b083371473dff6017f66dc"/>
    <w:p>
      <w:pPr>
        <w:pStyle w:val="Heading3"/>
      </w:pPr>
      <w:r>
        <w:t xml:space="preserve">4. FMI signings do not accelerate</w:t>
      </w:r>
    </w:p>
    <w:p>
      <w:pPr>
        <w:pStyle w:val="FirstParagraph"/>
      </w:pPr>
      <w:r>
        <w:t xml:space="preserve">The company’s full-year device-signing target implies stronger activity after 1Q. A soft 2Q would increase the burden on the second half and could temper expectations for future digital penetration.</w:t>
      </w:r>
    </w:p>
    <w:bookmarkEnd w:id="23"/>
    <w:bookmarkStart w:id="24" w:name="Xb31327b48237e1c88c141608b9065aabd37d117"/>
    <w:p>
      <w:pPr>
        <w:pStyle w:val="Heading3"/>
      </w:pPr>
      <w:r>
        <w:t xml:space="preserve">5. Macro or industrial caution becomes demand caution</w:t>
      </w:r>
    </w:p>
    <w:p>
      <w:pPr>
        <w:pStyle w:val="FirstParagraph"/>
      </w:pPr>
      <w:r>
        <w:t xml:space="preserve">Management described trade uncertainty as primarily a cost and planning issue rather than a demand issue in 1Q. Any change in that framing—particularly customer project delays, lower manufacturing activity, or slowing construction/transportation demand—would be an important negative signal.</w:t>
      </w:r>
    </w:p>
    <w:p>
      <w:r>
        <w:pict>
          <v:rect style="width:0;height:1.5pt" o:hralign="center" o:hrstd="t" o:hr="t"/>
        </w:pict>
      </w:r>
    </w:p>
    <w:bookmarkEnd w:id="24"/>
    <w:bookmarkEnd w:id="25"/>
    <w:bookmarkStart w:id="26" w:name="key-questions-for-the-call"/>
    <w:p>
      <w:pPr>
        <w:pStyle w:val="Heading2"/>
      </w:pPr>
      <w:r>
        <w:t xml:space="preserve">Key questions for the call</w:t>
      </w:r>
    </w:p>
    <w:p>
      <w:pPr>
        <w:pStyle w:val="Compact"/>
        <w:numPr>
          <w:ilvl w:val="0"/>
          <w:numId w:val="1009"/>
        </w:numPr>
      </w:pPr>
      <w:r>
        <w:rPr>
          <w:b/>
          <w:bCs/>
        </w:rPr>
        <w:t xml:space="preserve">Has price/cost improved sequentially from 1Q, and when does Fastenal expect neutrality?</w:t>
      </w:r>
    </w:p>
    <w:p>
      <w:pPr>
        <w:pStyle w:val="Compact"/>
        <w:numPr>
          <w:ilvl w:val="0"/>
          <w:numId w:val="1009"/>
        </w:numPr>
      </w:pPr>
      <w:r>
        <w:rPr>
          <w:b/>
          <w:bCs/>
        </w:rPr>
        <w:t xml:space="preserve">What is the current pricing realization rate, and how much of the remaining gap is contractual timing versus supplier-cost volatility?</w:t>
      </w:r>
    </w:p>
    <w:p>
      <w:pPr>
        <w:pStyle w:val="Compact"/>
        <w:numPr>
          <w:ilvl w:val="0"/>
          <w:numId w:val="1009"/>
        </w:numPr>
      </w:pPr>
      <w:r>
        <w:rPr>
          <w:b/>
          <w:bCs/>
        </w:rPr>
        <w:t xml:space="preserve">Are tariff- and supplier-cost headwinds now peaking, or are additional increases entering inventory?</w:t>
      </w:r>
    </w:p>
    <w:p>
      <w:pPr>
        <w:pStyle w:val="Compact"/>
        <w:numPr>
          <w:ilvl w:val="0"/>
          <w:numId w:val="1009"/>
        </w:numPr>
      </w:pPr>
      <w:r>
        <w:rPr>
          <w:b/>
          <w:bCs/>
        </w:rPr>
        <w:t xml:space="preserve">How did daily sales trend through April, May, and June?</w:t>
      </w:r>
    </w:p>
    <w:p>
      <w:pPr>
        <w:pStyle w:val="Compact"/>
        <w:numPr>
          <w:ilvl w:val="0"/>
          <w:numId w:val="1009"/>
        </w:numPr>
      </w:pPr>
      <w:r>
        <w:rPr>
          <w:b/>
          <w:bCs/>
        </w:rPr>
        <w:t xml:space="preserve">Did contract sales continue to outgrow the total company at a similar rate to 1Q?</w:t>
      </w:r>
    </w:p>
    <w:p>
      <w:pPr>
        <w:pStyle w:val="Compact"/>
        <w:numPr>
          <w:ilvl w:val="0"/>
          <w:numId w:val="1009"/>
        </w:numPr>
      </w:pPr>
      <w:r>
        <w:rPr>
          <w:b/>
          <w:bCs/>
        </w:rPr>
        <w:t xml:space="preserve">How much of growth is price versus unit volume/share gain?</w:t>
      </w:r>
    </w:p>
    <w:p>
      <w:pPr>
        <w:pStyle w:val="Compact"/>
        <w:numPr>
          <w:ilvl w:val="0"/>
          <w:numId w:val="1009"/>
        </w:numPr>
      </w:pPr>
      <w:r>
        <w:rPr>
          <w:b/>
          <w:bCs/>
        </w:rPr>
        <w:t xml:space="preserve">What were $50K+ site additions, site-level spend trends, and new contract signings?</w:t>
      </w:r>
    </w:p>
    <w:p>
      <w:pPr>
        <w:pStyle w:val="Compact"/>
        <w:numPr>
          <w:ilvl w:val="0"/>
          <w:numId w:val="1009"/>
        </w:numPr>
      </w:pPr>
      <w:r>
        <w:rPr>
          <w:b/>
          <w:bCs/>
        </w:rPr>
        <w:t xml:space="preserve">Did FMI device signings accelerate sufficiently to support the 28,000–30,000 full-year target?</w:t>
      </w:r>
    </w:p>
    <w:p>
      <w:pPr>
        <w:pStyle w:val="Compact"/>
        <w:numPr>
          <w:ilvl w:val="0"/>
          <w:numId w:val="1009"/>
        </w:numPr>
      </w:pPr>
      <w:r>
        <w:rPr>
          <w:b/>
          <w:bCs/>
        </w:rPr>
        <w:t xml:space="preserve">Can management still support high-20s incremental operating margins for the full year?</w:t>
      </w:r>
    </w:p>
    <w:p>
      <w:pPr>
        <w:pStyle w:val="Compact"/>
        <w:numPr>
          <w:ilvl w:val="0"/>
          <w:numId w:val="1009"/>
        </w:numPr>
      </w:pPr>
      <w:r>
        <w:rPr>
          <w:b/>
          <w:bCs/>
        </w:rPr>
        <w:t xml:space="preserve">Is the 2026 capex plan unchanged, and when should investors expect the Atlanta hub, automation, and IT spending to contribute to productivity?</w:t>
      </w:r>
    </w:p>
    <w:p>
      <w:r>
        <w:pict>
          <v:rect style="width:0;height:1.5pt" o:hralign="center" o:hrstd="t" o:hr="t"/>
        </w:pict>
      </w:r>
    </w:p>
    <w:bookmarkEnd w:id="26"/>
    <w:bookmarkStart w:id="27" w:name="investment-view-into-the-print"/>
    <w:p>
      <w:pPr>
        <w:pStyle w:val="Heading2"/>
      </w:pPr>
      <w:r>
        <w:t xml:space="preserve">Investment view into the print</w:t>
      </w:r>
    </w:p>
    <w:p>
      <w:pPr>
        <w:pStyle w:val="FirstParagraph"/>
      </w:pPr>
      <w:r>
        <w:t xml:space="preserve">Fastenal remains one of the better-positioned industrial distributors: its large-account strategy, customer-site penetration, FMI technology, digital integration, and balance-sheet strength support a credible multi-year share-gain story. The first quarter reinforced that the company can deliver operating leverage even in a mixed macro environment.</w:t>
      </w:r>
    </w:p>
    <w:p>
      <w:pPr>
        <w:pStyle w:val="BodyText"/>
      </w:pPr>
      <w:r>
        <w:t xml:space="preserve">But for the July 14 report,</w:t>
      </w:r>
      <w:r>
        <w:t xml:space="preserve"> </w:t>
      </w:r>
      <w:r>
        <w:rPr>
          <w:b/>
          <w:bCs/>
        </w:rPr>
        <w:t xml:space="preserve">the bar is centered on margin execution</w:t>
      </w:r>
      <w:r>
        <w:t xml:space="preserve">. Investors should view a strong top line as expected; the differentiator will be whether management demonstrates that pricing actions are catching up to costs and that 2Q marks the last difficult leg before a more favorable second-half margin trajectory.</w:t>
      </w:r>
    </w:p>
    <w:p>
      <w:pPr>
        <w:pStyle w:val="BodyText"/>
      </w:pPr>
      <w:r>
        <w:rPr>
          <w:b/>
          <w:bCs/>
        </w:rPr>
        <w:t xml:space="preserve">Most important KPI:</w:t>
      </w:r>
      <w:r>
        <w:t xml:space="preserve"> </w:t>
      </w:r>
      <w:r>
        <w:t xml:space="preserve">gross-margin commentary and price/cost direction.</w:t>
      </w:r>
      <w:r>
        <w:br/>
      </w:r>
      <w:r>
        <w:rPr>
          <w:b/>
          <w:bCs/>
        </w:rPr>
        <w:t xml:space="preserve">Most important growth KPI:</w:t>
      </w:r>
      <w:r>
        <w:t xml:space="preserve"> </w:t>
      </w:r>
      <w:r>
        <w:t xml:space="preserve">contract and $50K+ customer-site momentum.</w:t>
      </w:r>
      <w:r>
        <w:br/>
      </w:r>
      <w:r>
        <w:rPr>
          <w:b/>
          <w:bCs/>
        </w:rPr>
        <w:t xml:space="preserve">Most important forward-looking KPI:</w:t>
      </w:r>
      <w:r>
        <w:t xml:space="preserve"> </w:t>
      </w:r>
      <w:r>
        <w:t xml:space="preserve">FMI signings relative to the full-year target.</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2026-07-14T01:23:49Z</dcterms:created>
  <dcterms:modified xsi:type="dcterms:W3CDTF">2026-07-14T01:23:49Z</dcterms:modified>
</cp:coreProperties>
</file>

<file path=docProps/custom.xml><?xml version="1.0" encoding="utf-8"?>
<Properties xmlns="http://schemas.openxmlformats.org/officeDocument/2006/custom-properties" xmlns:vt="http://schemas.openxmlformats.org/officeDocument/2006/docPropsVTypes"/>
</file>