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Fastenal Company (FAST) — Q2 2026 Earnings Preview</w:t>
      </w:r>
    </w:p>
    <w:tbl>
      <w:tblPr>
        <w:tblStyle w:val="TableGrid"/>
        <w:tblW w:type="auto" w:w="0"/>
        <w:tblLook w:firstColumn="1" w:firstRow="1" w:lastColumn="0" w:lastRow="0" w:noHBand="0" w:noVBand="1" w:val="04A0"/>
      </w:tblPr>
      <w:tblGrid>
        <w:gridCol w:w="4320"/>
        <w:gridCol w:w="4320"/>
      </w:tblGrid>
      <w:tr>
        <w:tc>
          <w:tcPr>
            <w:tcW w:type="dxa" w:w="4320"/>
          </w:tcPr>
          <w:p>
            <w:r>
              <w:rPr>
                <w:rFonts w:ascii="Calibri" w:hAnsi="Calibri"/>
                <w:b/>
                <w:sz w:val="22"/>
              </w:rPr>
              <w:t>Company</w:t>
            </w:r>
          </w:p>
        </w:tc>
        <w:tc>
          <w:tcPr>
            <w:tcW w:type="dxa" w:w="4320"/>
          </w:tcPr>
          <w:p>
            <w:r>
              <w:rPr>
                <w:rFonts w:ascii="Calibri" w:hAnsi="Calibri"/>
                <w:sz w:val="22"/>
              </w:rPr>
              <w:t>Fastenal Company</w:t>
            </w:r>
          </w:p>
        </w:tc>
      </w:tr>
      <w:tr>
        <w:tc>
          <w:tcPr>
            <w:tcW w:type="dxa" w:w="4320"/>
          </w:tcPr>
          <w:p>
            <w:r>
              <w:rPr>
                <w:rFonts w:ascii="Calibri" w:hAnsi="Calibri"/>
                <w:b/>
                <w:sz w:val="22"/>
              </w:rPr>
              <w:t>Ticker</w:t>
            </w:r>
          </w:p>
        </w:tc>
        <w:tc>
          <w:tcPr>
            <w:tcW w:type="dxa" w:w="4320"/>
          </w:tcPr>
          <w:p>
            <w:r>
              <w:rPr>
                <w:rFonts w:ascii="Calibri" w:hAnsi="Calibri"/>
                <w:sz w:val="22"/>
              </w:rPr>
              <w:t>NASDAQ: FAST</w:t>
            </w:r>
          </w:p>
        </w:tc>
      </w:tr>
      <w:tr>
        <w:tc>
          <w:tcPr>
            <w:tcW w:type="dxa" w:w="4320"/>
          </w:tcPr>
          <w:p>
            <w:r>
              <w:rPr>
                <w:rFonts w:ascii="Calibri" w:hAnsi="Calibri"/>
                <w:b/>
                <w:sz w:val="22"/>
              </w:rPr>
              <w:t>Reporting Period</w:t>
            </w:r>
          </w:p>
        </w:tc>
        <w:tc>
          <w:tcPr>
            <w:tcW w:type="dxa" w:w="4320"/>
          </w:tcPr>
          <w:p>
            <w:r>
              <w:rPr>
                <w:rFonts w:ascii="Calibri" w:hAnsi="Calibri"/>
                <w:sz w:val="22"/>
              </w:rPr>
              <w:t>Q2 2026 (Fiscal Quarter Ending June 30, 2026)</w:t>
            </w:r>
          </w:p>
        </w:tc>
      </w:tr>
      <w:tr>
        <w:tc>
          <w:tcPr>
            <w:tcW w:type="dxa" w:w="4320"/>
          </w:tcPr>
          <w:p>
            <w:r>
              <w:rPr>
                <w:rFonts w:ascii="Calibri" w:hAnsi="Calibri"/>
                <w:b/>
                <w:sz w:val="22"/>
              </w:rPr>
              <w:t>Earnings Date</w:t>
            </w:r>
          </w:p>
        </w:tc>
        <w:tc>
          <w:tcPr>
            <w:tcW w:type="dxa" w:w="4320"/>
          </w:tcPr>
          <w:p>
            <w:r>
              <w:rPr>
                <w:rFonts w:ascii="Calibri" w:hAnsi="Calibri"/>
                <w:sz w:val="22"/>
              </w:rPr>
              <w:t>July 14, 2026 — Before Market Open</w:t>
            </w:r>
          </w:p>
        </w:tc>
      </w:tr>
      <w:tr>
        <w:tc>
          <w:tcPr>
            <w:tcW w:type="dxa" w:w="4320"/>
          </w:tcPr>
          <w:p>
            <w:r>
              <w:rPr>
                <w:rFonts w:ascii="Calibri" w:hAnsi="Calibri"/>
                <w:b/>
                <w:sz w:val="22"/>
              </w:rPr>
              <w:t>Conference Call</w:t>
            </w:r>
          </w:p>
        </w:tc>
        <w:tc>
          <w:tcPr>
            <w:tcW w:type="dxa" w:w="4320"/>
          </w:tcPr>
          <w:p>
            <w:r>
              <w:rPr>
                <w:rFonts w:ascii="Calibri" w:hAnsi="Calibri"/>
                <w:sz w:val="22"/>
              </w:rPr>
              <w:t>July 14, 2026 at 9:00 AM CT / 10:00 AM ET</w:t>
            </w:r>
          </w:p>
        </w:tc>
      </w:tr>
      <w:tr>
        <w:tc>
          <w:tcPr>
            <w:tcW w:type="dxa" w:w="4320"/>
          </w:tcPr>
          <w:p>
            <w:r>
              <w:rPr>
                <w:rFonts w:ascii="Calibri" w:hAnsi="Calibri"/>
                <w:b/>
                <w:sz w:val="22"/>
              </w:rPr>
              <w:t>Prepared Date</w:t>
            </w:r>
          </w:p>
        </w:tc>
        <w:tc>
          <w:tcPr>
            <w:tcW w:type="dxa" w:w="4320"/>
          </w:tcPr>
          <w:p>
            <w:r>
              <w:rPr>
                <w:rFonts w:ascii="Calibri" w:hAnsi="Calibri"/>
                <w:sz w:val="22"/>
              </w:rPr>
              <w:t>July 13, 2026</w:t>
            </w:r>
          </w:p>
        </w:tc>
      </w:tr>
    </w:tbl>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 xml:space="preserve">The setup into Q2 2026 is modestly constructive — consensus is not a high bar on daily sales growth (~12.5% DSR expected vs. 12.4% in Q1), but </w:t>
      </w:r>
      <w:r>
        <w:rPr>
          <w:rFonts w:ascii="Calibri" w:hAnsi="Calibri"/>
          <w:b/>
          <w:color w:val="525866"/>
          <w:sz w:val="22"/>
        </w:rPr>
        <w:t>gross margin is the real swing factor</w:t>
      </w:r>
      <w:r>
        <w:rPr>
          <w:rFonts w:ascii="Calibri" w:hAnsi="Calibri"/>
          <w:color w:val="525866"/>
          <w:sz w:val="22"/>
        </w:rPr>
        <w:t>, with the fastener expansion project anniversarying early in Q2 and tariff-driven cost inflation still running ahead of pricing — a repeat of Q1's miss on this line is the key risk.</w:t>
      </w:r>
    </w:p>
    <w:p>
      <w:r>
        <w:rPr>
          <w:rFonts w:ascii="Calibri" w:hAnsi="Calibri"/>
          <w:color w:val="525866"/>
          <w:sz w:val="22"/>
        </w:rPr>
        <w:t xml:space="preserve">Heading into the Q2 2026 print, the bar on daily sales growth is achievable: consensus sits at ~12.5% DSR growth, essentially in line with Q1's 12.4% result, and management's April commentary was explicitly "cautiously optimistic" with markets "continuing to expand." The harder question is gross margin — consensus expects ~44.6%, roughly flat with Q1's 44.6% actual, but management flagged Q2 as "challenging" on price/cost as the fastener expansion project anniversaries early in the quarter, removing a partial tailwind that helped offset tariff-driven cost inflation in Q1. Estimate revisions since the April 13 earnings call have been modest and directionally stable, suggesting the Street has largely absorbed the Q1 gross margin miss and management's cautious Q2 tone without a dramatic reset. The stock has recovered from its post-Q1 dip (~$43–44 range in May) to trade near $47, implying the market is pricing in continued double-digit growth and some margin recovery in H2 — leaving limited cushion if Q2 gross margin disappoints again. The wildcard is </w:t>
      </w:r>
      <w:r>
        <w:rPr>
          <w:rFonts w:ascii="Calibri" w:hAnsi="Calibri"/>
          <w:b/>
          <w:color w:val="525866"/>
          <w:sz w:val="22"/>
        </w:rPr>
        <w:t>tariff pricing pass-through velocity</w:t>
      </w:r>
      <w:r>
        <w:rPr>
          <w:rFonts w:ascii="Calibri" w:hAnsi="Calibri"/>
          <w:color w:val="525866"/>
          <w:sz w:val="22"/>
        </w:rPr>
        <w:t>: management has already implemented pricing actions and expressed confidence in H2 recovery, but if branded product cost inflation (safety, cutting tools) continues to outpace realized pricing in Q2, the stock's premium multiple (~38–40x P/E) will face renewed pressure.</w:t>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 xml:space="preserve">Consensus is a manageable bar on daily sales growth (~12.5% DSR), but </w:t>
      </w:r>
      <w:r>
        <w:rPr>
          <w:rFonts w:ascii="Calibri" w:hAnsi="Calibri"/>
          <w:b/>
          <w:color w:val="525866"/>
          <w:sz w:val="22"/>
        </w:rPr>
        <w:t>gross margin (~44.6% consensus) is the bigger swing factor</w:t>
      </w:r>
      <w:r>
        <w:rPr>
          <w:rFonts w:ascii="Calibri" w:hAnsi="Calibri"/>
          <w:color w:val="525866"/>
          <w:sz w:val="22"/>
        </w:rPr>
        <w:t xml:space="preserve"> — any repeat of Q1's price/cost miss could overshadow an in-line top-line result, as it did last quarter.</w:t>
      </w:r>
    </w:p>
    <w:p>
      <w:pPr>
        <w:pStyle w:val="Heading3"/>
      </w:pPr>
      <w:r>
        <w:rPr>
          <w:rFonts w:ascii="Calibri" w:hAnsi="Calibri"/>
          <w:b/>
          <w:color w:val="3B4259"/>
          <w:sz w:val="24"/>
        </w:rPr>
        <w:t>Table 1 — Q2 2026 Current Quarter Snapshot</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w:t>
            </w:r>
          </w:p>
        </w:tc>
        <w:tc>
          <w:tcPr>
            <w:tcW w:type="dxa" w:w="1234"/>
            <w:shd w:val="clear" w:color="auto" w:fill="3B4259"/>
          </w:tcPr>
          <w:p>
            <w:r>
              <w:rPr>
                <w:rFonts w:ascii="Calibri" w:hAnsi="Calibri"/>
                <w:b/>
                <w:color w:val="FFFFFF"/>
                <w:sz w:val="22"/>
              </w:rPr>
              <w:t>Q2 2025 Actual (Prior Year)</w:t>
            </w:r>
          </w:p>
        </w:tc>
        <w:tc>
          <w:tcPr>
            <w:tcW w:type="dxa" w:w="1234"/>
            <w:shd w:val="clear" w:color="auto" w:fill="3B4259"/>
          </w:tcPr>
          <w:p>
            <w:r>
              <w:rPr>
                <w:rFonts w:ascii="Calibri" w:hAnsi="Calibri"/>
                <w:b/>
                <w:color w:val="FFFFFF"/>
                <w:sz w:val="22"/>
              </w:rPr>
              <w:t>Q2 2026 Consensus Estimate</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Guidance / Management Commentary</w:t>
            </w:r>
          </w:p>
        </w:tc>
        <w:tc>
          <w:tcPr>
            <w:tcW w:type="dxa" w:w="1234"/>
            <w:shd w:val="clear" w:color="auto" w:fill="3B4259"/>
          </w:tcPr>
          <w:p>
            <w:r>
              <w:rPr>
                <w:rFonts w:ascii="Calibri" w:hAnsi="Calibri"/>
                <w:b/>
                <w:color w:val="FFFFFF"/>
                <w:sz w:val="22"/>
              </w:rPr>
              <w:t>Cons. vs. Guidance</w:t>
            </w:r>
          </w:p>
        </w:tc>
      </w:tr>
      <w:tr>
        <w:tc>
          <w:tcPr>
            <w:tcW w:type="dxa" w:w="1234"/>
          </w:tcPr>
          <w:p>
            <w:r>
              <w:rPr>
                <w:rFonts w:ascii="Calibri" w:hAnsi="Calibri"/>
                <w:sz w:val="22"/>
              </w:rPr>
              <w:t>Net Sales ($M)</w:t>
            </w:r>
          </w:p>
        </w:tc>
        <w:tc>
          <w:tcPr>
            <w:tcW w:type="dxa" w:w="1234"/>
          </w:tcPr>
          <w:p>
            <w:r>
              <w:rPr>
                <w:rFonts w:ascii="Calibri" w:hAnsi="Calibri"/>
                <w:sz w:val="22"/>
              </w:rPr>
              <w:t>$2,201.7M</w:t>
            </w:r>
          </w:p>
        </w:tc>
        <w:tc>
          <w:tcPr>
            <w:tcW w:type="dxa" w:w="1234"/>
          </w:tcPr>
          <w:p>
            <w:r>
              <w:rPr>
                <w:rFonts w:ascii="Calibri" w:hAnsi="Calibri"/>
                <w:sz w:val="22"/>
              </w:rPr>
              <w:t>$2,080.3M</w:t>
            </w:r>
          </w:p>
        </w:tc>
        <w:tc>
          <w:tcPr>
            <w:tcW w:type="dxa" w:w="1234"/>
          </w:tcPr>
          <w:p>
            <w:r>
              <w:rPr>
                <w:rFonts w:ascii="Calibri" w:hAnsi="Calibri"/>
                <w:sz w:val="22"/>
              </w:rPr>
              <w:t>$2,342.0M ¹</w:t>
            </w:r>
          </w:p>
        </w:tc>
        <w:tc>
          <w:tcPr>
            <w:tcW w:type="dxa" w:w="1234"/>
          </w:tcPr>
          <w:p>
            <w:r>
              <w:rPr>
                <w:rFonts w:ascii="Calibri" w:hAnsi="Calibri"/>
                <w:sz w:val="22"/>
              </w:rPr>
              <w:t>+12.6% YoY</w:t>
            </w:r>
          </w:p>
        </w:tc>
        <w:tc>
          <w:tcPr>
            <w:tcW w:type="dxa" w:w="1234"/>
          </w:tcPr>
          <w:p>
            <w:r>
              <w:rPr>
                <w:rFonts w:ascii="Calibri" w:hAnsi="Calibri"/>
                <w:sz w:val="22"/>
              </w:rPr>
              <w:t>Double-digit growth expected for FY2026</w:t>
            </w:r>
          </w:p>
        </w:tc>
        <w:tc>
          <w:tcPr>
            <w:tcW w:type="dxa" w:w="1234"/>
          </w:tcPr>
          <w:p>
            <w:r>
              <w:rPr>
                <w:rFonts w:ascii="Calibri" w:hAnsi="Calibri"/>
                <w:sz w:val="22"/>
              </w:rPr>
              <w:t>N/A (no specific quarterly guidance)</w:t>
            </w:r>
          </w:p>
        </w:tc>
      </w:tr>
      <w:tr>
        <w:tc>
          <w:tcPr>
            <w:tcW w:type="dxa" w:w="1234"/>
          </w:tcPr>
          <w:p>
            <w:r>
              <w:rPr>
                <w:rFonts w:ascii="Calibri" w:hAnsi="Calibri"/>
                <w:sz w:val="22"/>
              </w:rPr>
              <w:t>DSR Growth (%)</w:t>
            </w:r>
          </w:p>
        </w:tc>
        <w:tc>
          <w:tcPr>
            <w:tcW w:type="dxa" w:w="1234"/>
          </w:tcPr>
          <w:p>
            <w:r>
              <w:rPr>
                <w:rFonts w:ascii="Calibri" w:hAnsi="Calibri"/>
                <w:sz w:val="22"/>
              </w:rPr>
              <w:t>12.4%</w:t>
            </w:r>
          </w:p>
        </w:tc>
        <w:tc>
          <w:tcPr>
            <w:tcW w:type="dxa" w:w="1234"/>
          </w:tcPr>
          <w:p>
            <w:r>
              <w:rPr>
                <w:rFonts w:ascii="Calibri" w:hAnsi="Calibri"/>
                <w:sz w:val="22"/>
              </w:rPr>
              <w:t>8.6%</w:t>
            </w:r>
          </w:p>
        </w:tc>
        <w:tc>
          <w:tcPr>
            <w:tcW w:type="dxa" w:w="1234"/>
          </w:tcPr>
          <w:p>
            <w:r>
              <w:rPr>
                <w:rFonts w:ascii="Calibri" w:hAnsi="Calibri"/>
                <w:sz w:val="22"/>
              </w:rPr>
              <w:t>12.5% ¹</w:t>
            </w:r>
          </w:p>
        </w:tc>
        <w:tc>
          <w:tcPr>
            <w:tcW w:type="dxa" w:w="1234"/>
          </w:tcPr>
          <w:p>
            <w:r>
              <w:rPr>
                <w:rFonts w:ascii="Calibri" w:hAnsi="Calibri"/>
                <w:sz w:val="22"/>
              </w:rPr>
              <w:t>+~390 bps YoY</w:t>
            </w:r>
          </w:p>
        </w:tc>
        <w:tc>
          <w:tcPr>
            <w:tcW w:type="dxa" w:w="1234"/>
          </w:tcPr>
          <w:p>
            <w:r>
              <w:rPr>
                <w:rFonts w:ascii="Calibri" w:hAnsi="Calibri"/>
                <w:sz w:val="22"/>
              </w:rPr>
              <w:t>"Cautiously optimistic"; April markets "continuing to expand"</w:t>
            </w:r>
          </w:p>
        </w:tc>
        <w:tc>
          <w:tcPr>
            <w:tcW w:type="dxa" w:w="1234"/>
          </w:tcPr>
          <w:p>
            <w:r>
              <w:rPr>
                <w:rFonts w:ascii="Calibri" w:hAnsi="Calibri"/>
                <w:sz w:val="22"/>
              </w:rPr>
              <w:t>N/A (no specific quarterly guidance)</w:t>
            </w:r>
          </w:p>
        </w:tc>
      </w:tr>
      <w:tr>
        <w:tc>
          <w:tcPr>
            <w:tcW w:type="dxa" w:w="1234"/>
          </w:tcPr>
          <w:p>
            <w:r>
              <w:rPr>
                <w:rFonts w:ascii="Calibri" w:hAnsi="Calibri"/>
                <w:sz w:val="22"/>
              </w:rPr>
              <w:t>Gross Margin (%)</w:t>
            </w:r>
          </w:p>
        </w:tc>
        <w:tc>
          <w:tcPr>
            <w:tcW w:type="dxa" w:w="1234"/>
          </w:tcPr>
          <w:p>
            <w:r>
              <w:rPr>
                <w:rFonts w:ascii="Calibri" w:hAnsi="Calibri"/>
                <w:sz w:val="22"/>
              </w:rPr>
              <w:t>44.6%</w:t>
            </w:r>
          </w:p>
        </w:tc>
        <w:tc>
          <w:tcPr>
            <w:tcW w:type="dxa" w:w="1234"/>
          </w:tcPr>
          <w:p>
            <w:r>
              <w:rPr>
                <w:rFonts w:ascii="Calibri" w:hAnsi="Calibri"/>
                <w:sz w:val="22"/>
              </w:rPr>
              <w:t>45.3%</w:t>
            </w:r>
          </w:p>
        </w:tc>
        <w:tc>
          <w:tcPr>
            <w:tcW w:type="dxa" w:w="1234"/>
          </w:tcPr>
          <w:p>
            <w:r>
              <w:rPr>
                <w:rFonts w:ascii="Calibri" w:hAnsi="Calibri"/>
                <w:sz w:val="22"/>
              </w:rPr>
              <w:t>44.6% ¹</w:t>
            </w:r>
          </w:p>
        </w:tc>
        <w:tc>
          <w:tcPr>
            <w:tcW w:type="dxa" w:w="1234"/>
          </w:tcPr>
          <w:p>
            <w:r>
              <w:rPr>
                <w:rFonts w:ascii="Calibri" w:hAnsi="Calibri"/>
                <w:sz w:val="22"/>
              </w:rPr>
              <w:t>-70 bps YoY</w:t>
            </w:r>
          </w:p>
        </w:tc>
        <w:tc>
          <w:tcPr>
            <w:tcW w:type="dxa" w:w="1234"/>
          </w:tcPr>
          <w:p>
            <w:r>
              <w:rPr>
                <w:rFonts w:ascii="Calibri" w:hAnsi="Calibri"/>
                <w:sz w:val="22"/>
              </w:rPr>
              <w:t>Q2 "challenging" on price/cost; fastener project anniversaries early Q2; H2 recovery expected</w:t>
            </w:r>
          </w:p>
        </w:tc>
        <w:tc>
          <w:tcPr>
            <w:tcW w:type="dxa" w:w="1234"/>
          </w:tcPr>
          <w:p>
            <w:r>
              <w:rPr>
                <w:rFonts w:ascii="Calibri" w:hAnsi="Calibri"/>
                <w:sz w:val="22"/>
              </w:rPr>
              <w:t>Below prior year; in line with Q1 actual</w:t>
            </w:r>
          </w:p>
        </w:tc>
      </w:tr>
      <w:tr>
        <w:tc>
          <w:tcPr>
            <w:tcW w:type="dxa" w:w="1234"/>
          </w:tcPr>
          <w:p>
            <w:r>
              <w:rPr>
                <w:rFonts w:ascii="Calibri" w:hAnsi="Calibri"/>
                <w:sz w:val="22"/>
              </w:rPr>
              <w:t>Operating Margin (%)</w:t>
            </w:r>
          </w:p>
        </w:tc>
        <w:tc>
          <w:tcPr>
            <w:tcW w:type="dxa" w:w="1234"/>
          </w:tcPr>
          <w:p>
            <w:r>
              <w:rPr>
                <w:rFonts w:ascii="Calibri" w:hAnsi="Calibri"/>
                <w:sz w:val="22"/>
              </w:rPr>
              <w:t>20.3%</w:t>
            </w:r>
          </w:p>
        </w:tc>
        <w:tc>
          <w:tcPr>
            <w:tcW w:type="dxa" w:w="1234"/>
          </w:tcPr>
          <w:p>
            <w:r>
              <w:rPr>
                <w:rFonts w:ascii="Calibri" w:hAnsi="Calibri"/>
                <w:sz w:val="22"/>
              </w:rPr>
              <w:t>21.0%</w:t>
            </w:r>
          </w:p>
        </w:tc>
        <w:tc>
          <w:tcPr>
            <w:tcW w:type="dxa" w:w="1234"/>
          </w:tcPr>
          <w:p>
            <w:r>
              <w:rPr>
                <w:rFonts w:ascii="Calibri" w:hAnsi="Calibri"/>
                <w:sz w:val="22"/>
              </w:rPr>
              <w:t>21.3% ¹</w:t>
            </w:r>
          </w:p>
        </w:tc>
        <w:tc>
          <w:tcPr>
            <w:tcW w:type="dxa" w:w="1234"/>
          </w:tcPr>
          <w:p>
            <w:r>
              <w:rPr>
                <w:rFonts w:ascii="Calibri" w:hAnsi="Calibri"/>
                <w:sz w:val="22"/>
              </w:rPr>
              <w:t>+30 bps YoY</w:t>
            </w:r>
          </w:p>
        </w:tc>
        <w:tc>
          <w:tcPr>
            <w:tcW w:type="dxa" w:w="1234"/>
          </w:tcPr>
          <w:p>
            <w:r>
              <w:rPr>
                <w:rFonts w:ascii="Calibri" w:hAnsi="Calibri"/>
                <w:sz w:val="22"/>
              </w:rPr>
              <w:t>High-20s incremental margins confirmed for FY2026; SG&amp;A leverage expected to offset gross margin pressure</w:t>
            </w:r>
          </w:p>
        </w:tc>
        <w:tc>
          <w:tcPr>
            <w:tcW w:type="dxa" w:w="1234"/>
          </w:tcPr>
          <w:p>
            <w:r>
              <w:rPr>
                <w:rFonts w:ascii="Calibri" w:hAnsi="Calibri"/>
                <w:sz w:val="22"/>
              </w:rPr>
              <w:t>Consensus above Q1 actual; implies SG&amp;A leverage recovery</w:t>
            </w:r>
          </w:p>
        </w:tc>
      </w:tr>
      <w:tr>
        <w:tc>
          <w:tcPr>
            <w:tcW w:type="dxa" w:w="1234"/>
          </w:tcPr>
          <w:p>
            <w:r>
              <w:rPr>
                <w:rFonts w:ascii="Calibri" w:hAnsi="Calibri"/>
                <w:sz w:val="22"/>
              </w:rPr>
              <w:t>EPS — Diluted Operating ($)</w:t>
            </w:r>
          </w:p>
        </w:tc>
        <w:tc>
          <w:tcPr>
            <w:tcW w:type="dxa" w:w="1234"/>
          </w:tcPr>
          <w:p>
            <w:r>
              <w:rPr>
                <w:rFonts w:ascii="Calibri" w:hAnsi="Calibri"/>
                <w:sz w:val="22"/>
              </w:rPr>
              <w:t>$0.295</w:t>
            </w:r>
          </w:p>
        </w:tc>
        <w:tc>
          <w:tcPr>
            <w:tcW w:type="dxa" w:w="1234"/>
          </w:tcPr>
          <w:p>
            <w:r>
              <w:rPr>
                <w:rFonts w:ascii="Calibri" w:hAnsi="Calibri"/>
                <w:sz w:val="22"/>
              </w:rPr>
              <w:t>$0.286</w:t>
            </w:r>
          </w:p>
        </w:tc>
        <w:tc>
          <w:tcPr>
            <w:tcW w:type="dxa" w:w="1234"/>
          </w:tcPr>
          <w:p>
            <w:r>
              <w:rPr>
                <w:rFonts w:ascii="Calibri" w:hAnsi="Calibri"/>
                <w:sz w:val="22"/>
              </w:rPr>
              <w:t>$0.327 ¹</w:t>
            </w:r>
          </w:p>
        </w:tc>
        <w:tc>
          <w:tcPr>
            <w:tcW w:type="dxa" w:w="1234"/>
          </w:tcPr>
          <w:p>
            <w:r>
              <w:rPr>
                <w:rFonts w:ascii="Calibri" w:hAnsi="Calibri"/>
                <w:sz w:val="22"/>
              </w:rPr>
              <w:t>+14.3% YoY</w:t>
            </w:r>
          </w:p>
        </w:tc>
        <w:tc>
          <w:tcPr>
            <w:tcW w:type="dxa" w:w="1234"/>
          </w:tcPr>
          <w:p>
            <w:r>
              <w:rPr>
                <w:rFonts w:ascii="Calibri" w:hAnsi="Calibri"/>
                <w:sz w:val="22"/>
              </w:rPr>
              <w:t>No specific EPS guidance; FY2026 consensus ~$1.24</w:t>
            </w:r>
          </w:p>
        </w:tc>
        <w:tc>
          <w:tcPr>
            <w:tcW w:type="dxa" w:w="1234"/>
          </w:tcPr>
          <w:p>
            <w:r>
              <w:rPr>
                <w:rFonts w:ascii="Calibri" w:hAnsi="Calibri"/>
                <w:sz w:val="22"/>
              </w:rPr>
              <w:t>N/A (no specific quarterly guidance)</w:t>
            </w:r>
          </w:p>
        </w:tc>
      </w:tr>
      <w:tr>
        <w:tc>
          <w:tcPr>
            <w:tcW w:type="dxa" w:w="1234"/>
          </w:tcPr>
          <w:p>
            <w:r>
              <w:rPr>
                <w:rFonts w:ascii="Calibri" w:hAnsi="Calibri"/>
                <w:sz w:val="22"/>
              </w:rPr>
              <w:t>FMI Net Sales ($M)</w:t>
            </w:r>
          </w:p>
        </w:tc>
        <w:tc>
          <w:tcPr>
            <w:tcW w:type="dxa" w:w="1234"/>
          </w:tcPr>
          <w:p>
            <w:r>
              <w:rPr>
                <w:rFonts w:ascii="Calibri" w:hAnsi="Calibri"/>
                <w:sz w:val="22"/>
              </w:rPr>
              <w:t>$1,001.4M</w:t>
            </w:r>
          </w:p>
        </w:tc>
        <w:tc>
          <w:tcPr>
            <w:tcW w:type="dxa" w:w="1234"/>
          </w:tcPr>
          <w:p>
            <w:r>
              <w:rPr>
                <w:rFonts w:ascii="Calibri" w:hAnsi="Calibri"/>
                <w:sz w:val="22"/>
              </w:rPr>
              <w:t>$928.5M</w:t>
            </w:r>
          </w:p>
        </w:tc>
        <w:tc>
          <w:tcPr>
            <w:tcW w:type="dxa" w:w="1234"/>
          </w:tcPr>
          <w:p>
            <w:r>
              <w:rPr>
                <w:rFonts w:ascii="Calibri" w:hAnsi="Calibri"/>
                <w:sz w:val="22"/>
              </w:rPr>
              <w:t>$958.1M ¹</w:t>
            </w:r>
          </w:p>
        </w:tc>
        <w:tc>
          <w:tcPr>
            <w:tcW w:type="dxa" w:w="1234"/>
          </w:tcPr>
          <w:p>
            <w:r>
              <w:rPr>
                <w:rFonts w:ascii="Calibri" w:hAnsi="Calibri"/>
                <w:sz w:val="22"/>
              </w:rPr>
              <w:t>+3.2% YoY</w:t>
            </w:r>
          </w:p>
        </w:tc>
        <w:tc>
          <w:tcPr>
            <w:tcW w:type="dxa" w:w="1234"/>
          </w:tcPr>
          <w:p>
            <w:r>
              <w:rPr>
                <w:rFonts w:ascii="Calibri" w:hAnsi="Calibri"/>
                <w:sz w:val="22"/>
              </w:rPr>
              <w:t>FMI device signings target 28,000–30,000 MEUs for FY2026</w:t>
            </w:r>
          </w:p>
        </w:tc>
        <w:tc>
          <w:tcPr>
            <w:tcW w:type="dxa" w:w="1234"/>
          </w:tcPr>
          <w:p>
            <w:r>
              <w:rPr>
                <w:rFonts w:ascii="Calibri" w:hAnsi="Calibri"/>
                <w:sz w:val="22"/>
              </w:rPr>
              <w:t>N/A (no specific quarterly guidance)</w:t>
            </w:r>
          </w:p>
        </w:tc>
      </w:tr>
      <w:tr>
        <w:tc>
          <w:tcPr>
            <w:tcW w:type="dxa" w:w="1234"/>
          </w:tcPr>
          <w:p>
            <w:r>
              <w:rPr>
                <w:rFonts w:ascii="Calibri" w:hAnsi="Calibri"/>
                <w:sz w:val="22"/>
              </w:rPr>
              <w:t>Installed Vending Devices (#)</w:t>
            </w:r>
          </w:p>
        </w:tc>
        <w:tc>
          <w:tcPr>
            <w:tcW w:type="dxa" w:w="1234"/>
          </w:tcPr>
          <w:p>
            <w:r>
              <w:rPr>
                <w:rFonts w:ascii="Calibri" w:hAnsi="Calibri"/>
                <w:sz w:val="22"/>
              </w:rPr>
              <w:t>137,702</w:t>
            </w:r>
          </w:p>
        </w:tc>
        <w:tc>
          <w:tcPr>
            <w:tcW w:type="dxa" w:w="1234"/>
          </w:tcPr>
          <w:p>
            <w:r>
              <w:rPr>
                <w:rFonts w:ascii="Calibri" w:hAnsi="Calibri"/>
                <w:sz w:val="22"/>
              </w:rPr>
              <w:t>132,174</w:t>
            </w:r>
          </w:p>
        </w:tc>
        <w:tc>
          <w:tcPr>
            <w:tcW w:type="dxa" w:w="1234"/>
          </w:tcPr>
          <w:p>
            <w:r>
              <w:rPr>
                <w:rFonts w:ascii="Calibri" w:hAnsi="Calibri"/>
                <w:sz w:val="22"/>
              </w:rPr>
              <w:t>139,679 ¹</w:t>
            </w:r>
          </w:p>
        </w:tc>
        <w:tc>
          <w:tcPr>
            <w:tcW w:type="dxa" w:w="1234"/>
          </w:tcPr>
          <w:p>
            <w:r>
              <w:rPr>
                <w:rFonts w:ascii="Calibri" w:hAnsi="Calibri"/>
                <w:sz w:val="22"/>
              </w:rPr>
              <w:t>+5.7% YoY</w:t>
            </w:r>
          </w:p>
        </w:tc>
        <w:tc>
          <w:tcPr>
            <w:tcW w:type="dxa" w:w="1234"/>
          </w:tcPr>
          <w:p>
            <w:r>
              <w:rPr>
                <w:rFonts w:ascii="Calibri" w:hAnsi="Calibri"/>
                <w:sz w:val="22"/>
              </w:rPr>
              <w:t>FY2026 target: 28,000–30,000 new MEU signings</w:t>
            </w:r>
          </w:p>
        </w:tc>
        <w:tc>
          <w:tcPr>
            <w:tcW w:type="dxa" w:w="1234"/>
          </w:tcPr>
          <w:p>
            <w:r>
              <w:rPr>
                <w:rFonts w:ascii="Calibri" w:hAnsi="Calibri"/>
                <w:sz w:val="22"/>
              </w:rPr>
              <w:t>N/A (no specific quarterly guidance)</w:t>
            </w:r>
          </w:p>
        </w:tc>
      </w:tr>
      <w:tr>
        <w:tc>
          <w:tcPr>
            <w:tcW w:type="dxa" w:w="1234"/>
          </w:tcPr>
          <w:p>
            <w:r>
              <w:rPr>
                <w:rFonts w:ascii="Calibri" w:hAnsi="Calibri"/>
                <w:sz w:val="22"/>
              </w:rPr>
              <w:t>SG&amp;A ($M)</w:t>
            </w:r>
          </w:p>
        </w:tc>
        <w:tc>
          <w:tcPr>
            <w:tcW w:type="dxa" w:w="1234"/>
          </w:tcPr>
          <w:p>
            <w:r>
              <w:rPr>
                <w:rFonts w:ascii="Calibri" w:hAnsi="Calibri"/>
                <w:sz w:val="22"/>
              </w:rPr>
              <w:t>$535.3M</w:t>
            </w:r>
          </w:p>
        </w:tc>
        <w:tc>
          <w:tcPr>
            <w:tcW w:type="dxa" w:w="1234"/>
          </w:tcPr>
          <w:p>
            <w:r>
              <w:rPr>
                <w:rFonts w:ascii="Calibri" w:hAnsi="Calibri"/>
                <w:sz w:val="22"/>
              </w:rPr>
              <w:t>$506.7M</w:t>
            </w:r>
          </w:p>
        </w:tc>
        <w:tc>
          <w:tcPr>
            <w:tcW w:type="dxa" w:w="1234"/>
          </w:tcPr>
          <w:p>
            <w:r>
              <w:rPr>
                <w:rFonts w:ascii="Calibri" w:hAnsi="Calibri"/>
                <w:sz w:val="22"/>
              </w:rPr>
              <w:t>$545.6M ¹</w:t>
            </w:r>
          </w:p>
        </w:tc>
        <w:tc>
          <w:tcPr>
            <w:tcW w:type="dxa" w:w="1234"/>
          </w:tcPr>
          <w:p>
            <w:r>
              <w:rPr>
                <w:rFonts w:ascii="Calibri" w:hAnsi="Calibri"/>
                <w:sz w:val="22"/>
              </w:rPr>
              <w:t>+7.7% YoY</w:t>
            </w:r>
          </w:p>
        </w:tc>
        <w:tc>
          <w:tcPr>
            <w:tcW w:type="dxa" w:w="1234"/>
          </w:tcPr>
          <w:p>
            <w:r>
              <w:rPr>
                <w:rFonts w:ascii="Calibri" w:hAnsi="Calibri"/>
                <w:sz w:val="22"/>
              </w:rPr>
              <w:t>SG&amp;A leverage expected to offset gross margin pressure; incentive comp reload only impacts Q1</w:t>
            </w:r>
          </w:p>
        </w:tc>
        <w:tc>
          <w:tcPr>
            <w:tcW w:type="dxa" w:w="1234"/>
          </w:tcPr>
          <w:p>
            <w:r>
              <w:rPr>
                <w:rFonts w:ascii="Calibri" w:hAnsi="Calibri"/>
                <w:sz w:val="22"/>
              </w:rPr>
              <w:t>N/A (no specific quarterly guidance)</w:t>
            </w:r>
          </w:p>
        </w:tc>
      </w:tr>
    </w:tbl>
    <w:p>
      <w:r>
        <w:rPr>
          <w:rFonts w:ascii="Calibri" w:hAnsi="Calibri"/>
          <w:i/>
          <w:color w:val="525866"/>
          <w:sz w:val="22"/>
        </w:rPr>
        <w:t>¹ Source: Visible Alpha Consensus and Actuals Data. Q2 2026 consensus as of post-Q1 2026 earnings (April 18, 2026 as-of date). Q1 2026 and Q2 2025 actuals sourced from Visible Alpha.</w:t>
      </w:r>
    </w:p>
    <w:p>
      <w:pPr>
        <w:pStyle w:val="Heading3"/>
      </w:pPr>
      <w:r>
        <w:rPr>
          <w:rFonts w:ascii="Calibri" w:hAnsi="Calibri"/>
          <w:b/>
          <w:color w:val="3B4259"/>
          <w:sz w:val="24"/>
        </w:rPr>
        <w:t>Table 2 — Beat/Miss History: Top 2 KPIs (Last 8 Quarters)</w:t>
      </w:r>
    </w:p>
    <w:p>
      <w:r>
        <w:rPr>
          <w:rFonts w:ascii="Calibri" w:hAnsi="Calibri"/>
          <w:b/>
          <w:color w:val="525866"/>
          <w:sz w:val="22"/>
        </w:rPr>
        <w:t>KPI 1: DSR Growth (%)</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w:t>
            </w:r>
          </w:p>
        </w:tc>
        <w:tc>
          <w:tcPr>
            <w:tcW w:type="dxa" w:w="1728"/>
            <w:shd w:val="clear" w:color="auto" w:fill="3B4259"/>
          </w:tcPr>
          <w:p>
            <w:r>
              <w:rPr>
                <w:rFonts w:ascii="Calibri" w:hAnsi="Calibri"/>
                <w:b/>
                <w:color w:val="FFFFFF"/>
                <w:sz w:val="22"/>
              </w:rPr>
              <w:t>Consensus</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Q2 2024</w:t>
            </w:r>
          </w:p>
        </w:tc>
        <w:tc>
          <w:tcPr>
            <w:tcW w:type="dxa" w:w="1728"/>
          </w:tcPr>
          <w:p>
            <w:r>
              <w:rPr>
                <w:rFonts w:ascii="Calibri" w:hAnsi="Calibri"/>
                <w:sz w:val="22"/>
              </w:rPr>
              <w:t>1.76%</w:t>
            </w:r>
          </w:p>
        </w:tc>
        <w:tc>
          <w:tcPr>
            <w:tcW w:type="dxa" w:w="1728"/>
          </w:tcPr>
          <w:p>
            <w:r>
              <w:rPr>
                <w:rFonts w:ascii="Calibri" w:hAnsi="Calibri"/>
                <w:sz w:val="22"/>
              </w:rPr>
              <w:t>2.16%</w:t>
            </w:r>
          </w:p>
        </w:tc>
        <w:tc>
          <w:tcPr>
            <w:tcW w:type="dxa" w:w="1728"/>
          </w:tcPr>
          <w:p>
            <w:r>
              <w:rPr>
                <w:rFonts w:ascii="Calibri" w:hAnsi="Calibri"/>
                <w:sz w:val="22"/>
              </w:rPr>
              <w:t>-0.40 ppts</w:t>
            </w:r>
          </w:p>
        </w:tc>
        <w:tc>
          <w:tcPr>
            <w:tcW w:type="dxa" w:w="1728"/>
          </w:tcPr>
          <w:p>
            <w:r>
              <w:rPr>
                <w:rFonts w:ascii="Calibri" w:hAnsi="Calibri"/>
                <w:b/>
                <w:color w:val="E5484D"/>
                <w:sz w:val="22"/>
              </w:rPr>
              <w:t>Miss</w:t>
            </w:r>
          </w:p>
        </w:tc>
      </w:tr>
      <w:tr>
        <w:tc>
          <w:tcPr>
            <w:tcW w:type="dxa" w:w="1728"/>
          </w:tcPr>
          <w:p>
            <w:r>
              <w:rPr>
                <w:rFonts w:ascii="Calibri" w:hAnsi="Calibri"/>
                <w:sz w:val="22"/>
              </w:rPr>
              <w:t>Q3 2024</w:t>
            </w:r>
          </w:p>
        </w:tc>
        <w:tc>
          <w:tcPr>
            <w:tcW w:type="dxa" w:w="1728"/>
          </w:tcPr>
          <w:p>
            <w:r>
              <w:rPr>
                <w:rFonts w:ascii="Calibri" w:hAnsi="Calibri"/>
                <w:sz w:val="22"/>
              </w:rPr>
              <w:t>1.87%</w:t>
            </w:r>
          </w:p>
        </w:tc>
        <w:tc>
          <w:tcPr>
            <w:tcW w:type="dxa" w:w="1728"/>
          </w:tcPr>
          <w:p>
            <w:r>
              <w:rPr>
                <w:rFonts w:ascii="Calibri" w:hAnsi="Calibri"/>
                <w:sz w:val="22"/>
              </w:rPr>
              <w:t>2.46%</w:t>
            </w:r>
          </w:p>
        </w:tc>
        <w:tc>
          <w:tcPr>
            <w:tcW w:type="dxa" w:w="1728"/>
          </w:tcPr>
          <w:p>
            <w:r>
              <w:rPr>
                <w:rFonts w:ascii="Calibri" w:hAnsi="Calibri"/>
                <w:sz w:val="22"/>
              </w:rPr>
              <w:t>-0.59 ppts</w:t>
            </w:r>
          </w:p>
        </w:tc>
        <w:tc>
          <w:tcPr>
            <w:tcW w:type="dxa" w:w="1728"/>
          </w:tcPr>
          <w:p>
            <w:r>
              <w:rPr>
                <w:rFonts w:ascii="Calibri" w:hAnsi="Calibri"/>
                <w:b/>
                <w:color w:val="E5484D"/>
                <w:sz w:val="22"/>
              </w:rPr>
              <w:t>Miss</w:t>
            </w:r>
          </w:p>
        </w:tc>
      </w:tr>
      <w:tr>
        <w:tc>
          <w:tcPr>
            <w:tcW w:type="dxa" w:w="1728"/>
          </w:tcPr>
          <w:p>
            <w:r>
              <w:rPr>
                <w:rFonts w:ascii="Calibri" w:hAnsi="Calibri"/>
                <w:sz w:val="22"/>
              </w:rPr>
              <w:t>Q4 2024</w:t>
            </w:r>
          </w:p>
        </w:tc>
        <w:tc>
          <w:tcPr>
            <w:tcW w:type="dxa" w:w="1728"/>
          </w:tcPr>
          <w:p>
            <w:r>
              <w:rPr>
                <w:rFonts w:ascii="Calibri" w:hAnsi="Calibri"/>
                <w:sz w:val="22"/>
              </w:rPr>
              <w:t>2.10%</w:t>
            </w:r>
          </w:p>
        </w:tc>
        <w:tc>
          <w:tcPr>
            <w:tcW w:type="dxa" w:w="1728"/>
          </w:tcPr>
          <w:p>
            <w:r>
              <w:rPr>
                <w:rFonts w:ascii="Calibri" w:hAnsi="Calibri"/>
                <w:sz w:val="22"/>
              </w:rPr>
              <w:t>3.23%</w:t>
            </w:r>
          </w:p>
        </w:tc>
        <w:tc>
          <w:tcPr>
            <w:tcW w:type="dxa" w:w="1728"/>
          </w:tcPr>
          <w:p>
            <w:r>
              <w:rPr>
                <w:rFonts w:ascii="Calibri" w:hAnsi="Calibri"/>
                <w:sz w:val="22"/>
              </w:rPr>
              <w:t>-1.13 ppts</w:t>
            </w:r>
          </w:p>
        </w:tc>
        <w:tc>
          <w:tcPr>
            <w:tcW w:type="dxa" w:w="1728"/>
          </w:tcPr>
          <w:p>
            <w:r>
              <w:rPr>
                <w:rFonts w:ascii="Calibri" w:hAnsi="Calibri"/>
                <w:b/>
                <w:color w:val="E5484D"/>
                <w:sz w:val="22"/>
              </w:rPr>
              <w:t>Miss</w:t>
            </w:r>
          </w:p>
        </w:tc>
      </w:tr>
      <w:tr>
        <w:tc>
          <w:tcPr>
            <w:tcW w:type="dxa" w:w="1728"/>
          </w:tcPr>
          <w:p>
            <w:r>
              <w:rPr>
                <w:rFonts w:ascii="Calibri" w:hAnsi="Calibri"/>
                <w:sz w:val="22"/>
              </w:rPr>
              <w:t>Q1 2025</w:t>
            </w:r>
          </w:p>
        </w:tc>
        <w:tc>
          <w:tcPr>
            <w:tcW w:type="dxa" w:w="1728"/>
          </w:tcPr>
          <w:p>
            <w:r>
              <w:rPr>
                <w:rFonts w:ascii="Calibri" w:hAnsi="Calibri"/>
                <w:sz w:val="22"/>
              </w:rPr>
              <w:t>5.03%</w:t>
            </w:r>
          </w:p>
        </w:tc>
        <w:tc>
          <w:tcPr>
            <w:tcW w:type="dxa" w:w="1728"/>
          </w:tcPr>
          <w:p>
            <w:r>
              <w:rPr>
                <w:rFonts w:ascii="Calibri" w:hAnsi="Calibri"/>
                <w:sz w:val="22"/>
              </w:rPr>
              <w:t>4.53%</w:t>
            </w:r>
          </w:p>
        </w:tc>
        <w:tc>
          <w:tcPr>
            <w:tcW w:type="dxa" w:w="1728"/>
          </w:tcPr>
          <w:p>
            <w:r>
              <w:rPr>
                <w:rFonts w:ascii="Calibri" w:hAnsi="Calibri"/>
                <w:sz w:val="22"/>
              </w:rPr>
              <w:t>+0.50 ppts</w:t>
            </w:r>
          </w:p>
        </w:tc>
        <w:tc>
          <w:tcPr>
            <w:tcW w:type="dxa" w:w="1728"/>
          </w:tcPr>
          <w:p>
            <w:r>
              <w:rPr>
                <w:rFonts w:ascii="Calibri" w:hAnsi="Calibri"/>
                <w:b/>
                <w:color w:val="30A46C"/>
                <w:sz w:val="22"/>
              </w:rPr>
              <w:t>Beat</w:t>
            </w:r>
          </w:p>
        </w:tc>
      </w:tr>
      <w:tr>
        <w:tc>
          <w:tcPr>
            <w:tcW w:type="dxa" w:w="1728"/>
          </w:tcPr>
          <w:p>
            <w:r>
              <w:rPr>
                <w:rFonts w:ascii="Calibri" w:hAnsi="Calibri"/>
                <w:sz w:val="22"/>
              </w:rPr>
              <w:t>Q2 2025</w:t>
            </w:r>
          </w:p>
        </w:tc>
        <w:tc>
          <w:tcPr>
            <w:tcW w:type="dxa" w:w="1728"/>
          </w:tcPr>
          <w:p>
            <w:r>
              <w:rPr>
                <w:rFonts w:ascii="Calibri" w:hAnsi="Calibri"/>
                <w:sz w:val="22"/>
              </w:rPr>
              <w:t>8.56%</w:t>
            </w:r>
          </w:p>
        </w:tc>
        <w:tc>
          <w:tcPr>
            <w:tcW w:type="dxa" w:w="1728"/>
          </w:tcPr>
          <w:p>
            <w:r>
              <w:rPr>
                <w:rFonts w:ascii="Calibri" w:hAnsi="Calibri"/>
                <w:sz w:val="22"/>
              </w:rPr>
              <w:t>8.00%</w:t>
            </w:r>
          </w:p>
        </w:tc>
        <w:tc>
          <w:tcPr>
            <w:tcW w:type="dxa" w:w="1728"/>
          </w:tcPr>
          <w:p>
            <w:r>
              <w:rPr>
                <w:rFonts w:ascii="Calibri" w:hAnsi="Calibri"/>
                <w:sz w:val="22"/>
              </w:rPr>
              <w:t>+0.56 ppts</w:t>
            </w:r>
          </w:p>
        </w:tc>
        <w:tc>
          <w:tcPr>
            <w:tcW w:type="dxa" w:w="1728"/>
          </w:tcPr>
          <w:p>
            <w:r>
              <w:rPr>
                <w:rFonts w:ascii="Calibri" w:hAnsi="Calibri"/>
                <w:b/>
                <w:color w:val="30A46C"/>
                <w:sz w:val="22"/>
              </w:rPr>
              <w:t>Beat</w:t>
            </w:r>
          </w:p>
        </w:tc>
      </w:tr>
      <w:tr>
        <w:tc>
          <w:tcPr>
            <w:tcW w:type="dxa" w:w="1728"/>
          </w:tcPr>
          <w:p>
            <w:r>
              <w:rPr>
                <w:rFonts w:ascii="Calibri" w:hAnsi="Calibri"/>
                <w:sz w:val="22"/>
              </w:rPr>
              <w:t>Q3 2025</w:t>
            </w:r>
          </w:p>
        </w:tc>
        <w:tc>
          <w:tcPr>
            <w:tcW w:type="dxa" w:w="1728"/>
          </w:tcPr>
          <w:p>
            <w:r>
              <w:rPr>
                <w:rFonts w:ascii="Calibri" w:hAnsi="Calibri"/>
                <w:sz w:val="22"/>
              </w:rPr>
              <w:t>11.68%</w:t>
            </w:r>
          </w:p>
        </w:tc>
        <w:tc>
          <w:tcPr>
            <w:tcW w:type="dxa" w:w="1728"/>
          </w:tcPr>
          <w:p>
            <w:r>
              <w:rPr>
                <w:rFonts w:ascii="Calibri" w:hAnsi="Calibri"/>
                <w:sz w:val="22"/>
              </w:rPr>
              <w:t>11.50%</w:t>
            </w:r>
          </w:p>
        </w:tc>
        <w:tc>
          <w:tcPr>
            <w:tcW w:type="dxa" w:w="1728"/>
          </w:tcPr>
          <w:p>
            <w:r>
              <w:rPr>
                <w:rFonts w:ascii="Calibri" w:hAnsi="Calibri"/>
                <w:sz w:val="22"/>
              </w:rPr>
              <w:t>+0.18 ppts</w:t>
            </w:r>
          </w:p>
        </w:tc>
        <w:tc>
          <w:tcPr>
            <w:tcW w:type="dxa" w:w="1728"/>
          </w:tcPr>
          <w:p>
            <w:r>
              <w:rPr>
                <w:rFonts w:ascii="Calibri" w:hAnsi="Calibri"/>
                <w:b/>
                <w:color w:val="30A46C"/>
                <w:sz w:val="22"/>
              </w:rPr>
              <w:t>Beat</w:t>
            </w:r>
          </w:p>
        </w:tc>
      </w:tr>
      <w:tr>
        <w:tc>
          <w:tcPr>
            <w:tcW w:type="dxa" w:w="1728"/>
          </w:tcPr>
          <w:p>
            <w:r>
              <w:rPr>
                <w:rFonts w:ascii="Calibri" w:hAnsi="Calibri"/>
                <w:sz w:val="22"/>
              </w:rPr>
              <w:t>Q4 2025</w:t>
            </w:r>
          </w:p>
        </w:tc>
        <w:tc>
          <w:tcPr>
            <w:tcW w:type="dxa" w:w="1728"/>
          </w:tcPr>
          <w:p>
            <w:r>
              <w:rPr>
                <w:rFonts w:ascii="Calibri" w:hAnsi="Calibri"/>
                <w:sz w:val="22"/>
              </w:rPr>
              <w:t>11.12%</w:t>
            </w:r>
          </w:p>
        </w:tc>
        <w:tc>
          <w:tcPr>
            <w:tcW w:type="dxa" w:w="1728"/>
          </w:tcPr>
          <w:p>
            <w:r>
              <w:rPr>
                <w:rFonts w:ascii="Calibri" w:hAnsi="Calibri"/>
                <w:sz w:val="22"/>
              </w:rPr>
              <w:t>11.54%</w:t>
            </w:r>
          </w:p>
        </w:tc>
        <w:tc>
          <w:tcPr>
            <w:tcW w:type="dxa" w:w="1728"/>
          </w:tcPr>
          <w:p>
            <w:r>
              <w:rPr>
                <w:rFonts w:ascii="Calibri" w:hAnsi="Calibri"/>
                <w:sz w:val="22"/>
              </w:rPr>
              <w:t>-0.42 ppts</w:t>
            </w:r>
          </w:p>
        </w:tc>
        <w:tc>
          <w:tcPr>
            <w:tcW w:type="dxa" w:w="1728"/>
          </w:tcPr>
          <w:p>
            <w:r>
              <w:rPr>
                <w:rFonts w:ascii="Calibri" w:hAnsi="Calibri"/>
                <w:b/>
                <w:color w:val="E5484D"/>
                <w:sz w:val="22"/>
              </w:rPr>
              <w:t>Miss</w:t>
            </w:r>
          </w:p>
        </w:tc>
      </w:tr>
      <w:tr>
        <w:tc>
          <w:tcPr>
            <w:tcW w:type="dxa" w:w="1728"/>
          </w:tcPr>
          <w:p>
            <w:r>
              <w:rPr>
                <w:rFonts w:ascii="Calibri" w:hAnsi="Calibri"/>
                <w:sz w:val="22"/>
              </w:rPr>
              <w:t>Q1 2026</w:t>
            </w:r>
          </w:p>
        </w:tc>
        <w:tc>
          <w:tcPr>
            <w:tcW w:type="dxa" w:w="1728"/>
          </w:tcPr>
          <w:p>
            <w:r>
              <w:rPr>
                <w:rFonts w:ascii="Calibri" w:hAnsi="Calibri"/>
                <w:sz w:val="22"/>
              </w:rPr>
              <w:t>12.37%</w:t>
            </w:r>
          </w:p>
        </w:tc>
        <w:tc>
          <w:tcPr>
            <w:tcW w:type="dxa" w:w="1728"/>
          </w:tcPr>
          <w:p>
            <w:r>
              <w:rPr>
                <w:rFonts w:ascii="Calibri" w:hAnsi="Calibri"/>
                <w:sz w:val="22"/>
              </w:rPr>
              <w:t>12.18%</w:t>
            </w:r>
          </w:p>
        </w:tc>
        <w:tc>
          <w:tcPr>
            <w:tcW w:type="dxa" w:w="1728"/>
          </w:tcPr>
          <w:p>
            <w:r>
              <w:rPr>
                <w:rFonts w:ascii="Calibri" w:hAnsi="Calibri"/>
                <w:sz w:val="22"/>
              </w:rPr>
              <w:t>+0.19 ppts</w:t>
            </w:r>
          </w:p>
        </w:tc>
        <w:tc>
          <w:tcPr>
            <w:tcW w:type="dxa" w:w="1728"/>
          </w:tcPr>
          <w:p>
            <w:r>
              <w:rPr>
                <w:rFonts w:ascii="Calibri" w:hAnsi="Calibri"/>
                <w:b/>
                <w:color w:val="30A46C"/>
                <w:sz w:val="22"/>
              </w:rPr>
              <w:t>Beat</w:t>
            </w:r>
          </w:p>
        </w:tc>
      </w:tr>
    </w:tbl>
    <w:p>
      <w:r>
        <w:rPr>
          <w:rFonts w:ascii="Calibri" w:hAnsi="Calibri"/>
          <w:b/>
          <w:color w:val="525866"/>
          <w:sz w:val="22"/>
        </w:rPr>
        <w:t>KPI 2: Gross Margin (%)</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w:t>
            </w:r>
          </w:p>
        </w:tc>
        <w:tc>
          <w:tcPr>
            <w:tcW w:type="dxa" w:w="1728"/>
            <w:shd w:val="clear" w:color="auto" w:fill="3B4259"/>
          </w:tcPr>
          <w:p>
            <w:r>
              <w:rPr>
                <w:rFonts w:ascii="Calibri" w:hAnsi="Calibri"/>
                <w:b/>
                <w:color w:val="FFFFFF"/>
                <w:sz w:val="22"/>
              </w:rPr>
              <w:t>Consensus</w:t>
            </w:r>
          </w:p>
        </w:tc>
        <w:tc>
          <w:tcPr>
            <w:tcW w:type="dxa" w:w="1728"/>
            <w:shd w:val="clear" w:color="auto" w:fill="3B4259"/>
          </w:tcPr>
          <w:p>
            <w:r>
              <w:rPr>
                <w:rFonts w:ascii="Calibri" w:hAnsi="Calibri"/>
                <w:b/>
                <w:color w:val="FFFFFF"/>
                <w:sz w:val="22"/>
              </w:rPr>
              <w:t>Surprise (ppts)</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Q2 2024</w:t>
            </w:r>
          </w:p>
        </w:tc>
        <w:tc>
          <w:tcPr>
            <w:tcW w:type="dxa" w:w="1728"/>
          </w:tcPr>
          <w:p>
            <w:r>
              <w:rPr>
                <w:rFonts w:ascii="Calibri" w:hAnsi="Calibri"/>
                <w:sz w:val="22"/>
              </w:rPr>
              <w:t>45.06%</w:t>
            </w:r>
          </w:p>
        </w:tc>
        <w:tc>
          <w:tcPr>
            <w:tcW w:type="dxa" w:w="1728"/>
          </w:tcPr>
          <w:p>
            <w:r>
              <w:rPr>
                <w:rFonts w:ascii="Calibri" w:hAnsi="Calibri"/>
                <w:sz w:val="22"/>
              </w:rPr>
              <w:t>N/A — not in VA</w:t>
            </w:r>
          </w:p>
        </w:tc>
        <w:tc>
          <w:tcPr>
            <w:tcW w:type="dxa" w:w="1728"/>
          </w:tcPr>
          <w:p>
            <w:r>
              <w:rPr>
                <w:rFonts w:ascii="Calibri" w:hAnsi="Calibri"/>
                <w:sz w:val="22"/>
              </w:rPr>
              <w:t>N/A</w:t>
            </w:r>
          </w:p>
        </w:tc>
        <w:tc>
          <w:tcPr>
            <w:tcW w:type="dxa" w:w="1728"/>
          </w:tcPr>
          <w:p>
            <w:r>
              <w:rPr>
                <w:rFonts w:ascii="Calibri" w:hAnsi="Calibri"/>
                <w:sz w:val="22"/>
              </w:rPr>
              <w:t>N/A</w:t>
            </w:r>
          </w:p>
        </w:tc>
      </w:tr>
      <w:tr>
        <w:tc>
          <w:tcPr>
            <w:tcW w:type="dxa" w:w="1728"/>
          </w:tcPr>
          <w:p>
            <w:r>
              <w:rPr>
                <w:rFonts w:ascii="Calibri" w:hAnsi="Calibri"/>
                <w:sz w:val="22"/>
              </w:rPr>
              <w:t>Q3 2024</w:t>
            </w:r>
          </w:p>
        </w:tc>
        <w:tc>
          <w:tcPr>
            <w:tcW w:type="dxa" w:w="1728"/>
          </w:tcPr>
          <w:p>
            <w:r>
              <w:rPr>
                <w:rFonts w:ascii="Calibri" w:hAnsi="Calibri"/>
                <w:sz w:val="22"/>
              </w:rPr>
              <w:t>44.95%</w:t>
            </w:r>
          </w:p>
        </w:tc>
        <w:tc>
          <w:tcPr>
            <w:tcW w:type="dxa" w:w="1728"/>
          </w:tcPr>
          <w:p>
            <w:r>
              <w:rPr>
                <w:rFonts w:ascii="Calibri" w:hAnsi="Calibri"/>
                <w:sz w:val="22"/>
              </w:rPr>
              <w:t>N/A — not in VA</w:t>
            </w:r>
          </w:p>
        </w:tc>
        <w:tc>
          <w:tcPr>
            <w:tcW w:type="dxa" w:w="1728"/>
          </w:tcPr>
          <w:p>
            <w:r>
              <w:rPr>
                <w:rFonts w:ascii="Calibri" w:hAnsi="Calibri"/>
                <w:sz w:val="22"/>
              </w:rPr>
              <w:t>N/A</w:t>
            </w:r>
          </w:p>
        </w:tc>
        <w:tc>
          <w:tcPr>
            <w:tcW w:type="dxa" w:w="1728"/>
          </w:tcPr>
          <w:p>
            <w:r>
              <w:rPr>
                <w:rFonts w:ascii="Calibri" w:hAnsi="Calibri"/>
                <w:sz w:val="22"/>
              </w:rPr>
              <w:t>N/A</w:t>
            </w:r>
          </w:p>
        </w:tc>
      </w:tr>
      <w:tr>
        <w:tc>
          <w:tcPr>
            <w:tcW w:type="dxa" w:w="1728"/>
          </w:tcPr>
          <w:p>
            <w:r>
              <w:rPr>
                <w:rFonts w:ascii="Calibri" w:hAnsi="Calibri"/>
                <w:sz w:val="22"/>
              </w:rPr>
              <w:t>Q4 2024</w:t>
            </w:r>
          </w:p>
        </w:tc>
        <w:tc>
          <w:tcPr>
            <w:tcW w:type="dxa" w:w="1728"/>
          </w:tcPr>
          <w:p>
            <w:r>
              <w:rPr>
                <w:rFonts w:ascii="Calibri" w:hAnsi="Calibri"/>
                <w:sz w:val="22"/>
              </w:rPr>
              <w:t>44.85%</w:t>
            </w:r>
          </w:p>
        </w:tc>
        <w:tc>
          <w:tcPr>
            <w:tcW w:type="dxa" w:w="1728"/>
          </w:tcPr>
          <w:p>
            <w:r>
              <w:rPr>
                <w:rFonts w:ascii="Calibri" w:hAnsi="Calibri"/>
                <w:sz w:val="22"/>
              </w:rPr>
              <w:t>N/A — not in VA</w:t>
            </w:r>
          </w:p>
        </w:tc>
        <w:tc>
          <w:tcPr>
            <w:tcW w:type="dxa" w:w="1728"/>
          </w:tcPr>
          <w:p>
            <w:r>
              <w:rPr>
                <w:rFonts w:ascii="Calibri" w:hAnsi="Calibri"/>
                <w:sz w:val="22"/>
              </w:rPr>
              <w:t>N/A</w:t>
            </w:r>
          </w:p>
        </w:tc>
        <w:tc>
          <w:tcPr>
            <w:tcW w:type="dxa" w:w="1728"/>
          </w:tcPr>
          <w:p>
            <w:r>
              <w:rPr>
                <w:rFonts w:ascii="Calibri" w:hAnsi="Calibri"/>
                <w:sz w:val="22"/>
              </w:rPr>
              <w:t>N/A</w:t>
            </w:r>
          </w:p>
        </w:tc>
      </w:tr>
      <w:tr>
        <w:tc>
          <w:tcPr>
            <w:tcW w:type="dxa" w:w="1728"/>
          </w:tcPr>
          <w:p>
            <w:r>
              <w:rPr>
                <w:rFonts w:ascii="Calibri" w:hAnsi="Calibri"/>
                <w:sz w:val="22"/>
              </w:rPr>
              <w:t>Q1 2025</w:t>
            </w:r>
          </w:p>
        </w:tc>
        <w:tc>
          <w:tcPr>
            <w:tcW w:type="dxa" w:w="1728"/>
          </w:tcPr>
          <w:p>
            <w:r>
              <w:rPr>
                <w:rFonts w:ascii="Calibri" w:hAnsi="Calibri"/>
                <w:sz w:val="22"/>
              </w:rPr>
              <w:t>45.11%</w:t>
            </w:r>
          </w:p>
        </w:tc>
        <w:tc>
          <w:tcPr>
            <w:tcW w:type="dxa" w:w="1728"/>
          </w:tcPr>
          <w:p>
            <w:r>
              <w:rPr>
                <w:rFonts w:ascii="Calibri" w:hAnsi="Calibri"/>
                <w:sz w:val="22"/>
              </w:rPr>
              <w:t>N/A — not in VA</w:t>
            </w:r>
          </w:p>
        </w:tc>
        <w:tc>
          <w:tcPr>
            <w:tcW w:type="dxa" w:w="1728"/>
          </w:tcPr>
          <w:p>
            <w:r>
              <w:rPr>
                <w:rFonts w:ascii="Calibri" w:hAnsi="Calibri"/>
                <w:sz w:val="22"/>
              </w:rPr>
              <w:t>N/A</w:t>
            </w:r>
          </w:p>
        </w:tc>
        <w:tc>
          <w:tcPr>
            <w:tcW w:type="dxa" w:w="1728"/>
          </w:tcPr>
          <w:p>
            <w:r>
              <w:rPr>
                <w:rFonts w:ascii="Calibri" w:hAnsi="Calibri"/>
                <w:sz w:val="22"/>
              </w:rPr>
              <w:t>N/A</w:t>
            </w:r>
          </w:p>
        </w:tc>
      </w:tr>
      <w:tr>
        <w:tc>
          <w:tcPr>
            <w:tcW w:type="dxa" w:w="1728"/>
          </w:tcPr>
          <w:p>
            <w:r>
              <w:rPr>
                <w:rFonts w:ascii="Calibri" w:hAnsi="Calibri"/>
                <w:sz w:val="22"/>
              </w:rPr>
              <w:t>Q2 2025</w:t>
            </w:r>
          </w:p>
        </w:tc>
        <w:tc>
          <w:tcPr>
            <w:tcW w:type="dxa" w:w="1728"/>
          </w:tcPr>
          <w:p>
            <w:r>
              <w:rPr>
                <w:rFonts w:ascii="Calibri" w:hAnsi="Calibri"/>
                <w:sz w:val="22"/>
              </w:rPr>
              <w:t>45.32%</w:t>
            </w:r>
          </w:p>
        </w:tc>
        <w:tc>
          <w:tcPr>
            <w:tcW w:type="dxa" w:w="1728"/>
          </w:tcPr>
          <w:p>
            <w:r>
              <w:rPr>
                <w:rFonts w:ascii="Calibri" w:hAnsi="Calibri"/>
                <w:sz w:val="22"/>
              </w:rPr>
              <w:t>N/A — not in VA</w:t>
            </w:r>
          </w:p>
        </w:tc>
        <w:tc>
          <w:tcPr>
            <w:tcW w:type="dxa" w:w="1728"/>
          </w:tcPr>
          <w:p>
            <w:r>
              <w:rPr>
                <w:rFonts w:ascii="Calibri" w:hAnsi="Calibri"/>
                <w:sz w:val="22"/>
              </w:rPr>
              <w:t>N/A</w:t>
            </w:r>
          </w:p>
        </w:tc>
        <w:tc>
          <w:tcPr>
            <w:tcW w:type="dxa" w:w="1728"/>
          </w:tcPr>
          <w:p>
            <w:r>
              <w:rPr>
                <w:rFonts w:ascii="Calibri" w:hAnsi="Calibri"/>
                <w:sz w:val="22"/>
              </w:rPr>
              <w:t>N/A</w:t>
            </w:r>
          </w:p>
        </w:tc>
      </w:tr>
      <w:tr>
        <w:tc>
          <w:tcPr>
            <w:tcW w:type="dxa" w:w="1728"/>
          </w:tcPr>
          <w:p>
            <w:r>
              <w:rPr>
                <w:rFonts w:ascii="Calibri" w:hAnsi="Calibri"/>
                <w:sz w:val="22"/>
              </w:rPr>
              <w:t>Q3 2025</w:t>
            </w:r>
          </w:p>
        </w:tc>
        <w:tc>
          <w:tcPr>
            <w:tcW w:type="dxa" w:w="1728"/>
          </w:tcPr>
          <w:p>
            <w:r>
              <w:rPr>
                <w:rFonts w:ascii="Calibri" w:hAnsi="Calibri"/>
                <w:sz w:val="22"/>
              </w:rPr>
              <w:t>45.27%</w:t>
            </w:r>
          </w:p>
        </w:tc>
        <w:tc>
          <w:tcPr>
            <w:tcW w:type="dxa" w:w="1728"/>
          </w:tcPr>
          <w:p>
            <w:r>
              <w:rPr>
                <w:rFonts w:ascii="Calibri" w:hAnsi="Calibri"/>
                <w:sz w:val="22"/>
              </w:rPr>
              <w:t>N/A — not in VA</w:t>
            </w:r>
          </w:p>
        </w:tc>
        <w:tc>
          <w:tcPr>
            <w:tcW w:type="dxa" w:w="1728"/>
          </w:tcPr>
          <w:p>
            <w:r>
              <w:rPr>
                <w:rFonts w:ascii="Calibri" w:hAnsi="Calibri"/>
                <w:sz w:val="22"/>
              </w:rPr>
              <w:t>N/A</w:t>
            </w:r>
          </w:p>
        </w:tc>
        <w:tc>
          <w:tcPr>
            <w:tcW w:type="dxa" w:w="1728"/>
          </w:tcPr>
          <w:p>
            <w:r>
              <w:rPr>
                <w:rFonts w:ascii="Calibri" w:hAnsi="Calibri"/>
                <w:sz w:val="22"/>
              </w:rPr>
              <w:t>N/A</w:t>
            </w:r>
          </w:p>
        </w:tc>
      </w:tr>
      <w:tr>
        <w:tc>
          <w:tcPr>
            <w:tcW w:type="dxa" w:w="1728"/>
          </w:tcPr>
          <w:p>
            <w:r>
              <w:rPr>
                <w:rFonts w:ascii="Calibri" w:hAnsi="Calibri"/>
                <w:sz w:val="22"/>
              </w:rPr>
              <w:t>Q4 2025</w:t>
            </w:r>
          </w:p>
        </w:tc>
        <w:tc>
          <w:tcPr>
            <w:tcW w:type="dxa" w:w="1728"/>
          </w:tcPr>
          <w:p>
            <w:r>
              <w:rPr>
                <w:rFonts w:ascii="Calibri" w:hAnsi="Calibri"/>
                <w:sz w:val="22"/>
              </w:rPr>
              <w:t>44.33%</w:t>
            </w:r>
          </w:p>
        </w:tc>
        <w:tc>
          <w:tcPr>
            <w:tcW w:type="dxa" w:w="1728"/>
          </w:tcPr>
          <w:p>
            <w:r>
              <w:rPr>
                <w:rFonts w:ascii="Calibri" w:hAnsi="Calibri"/>
                <w:sz w:val="22"/>
              </w:rPr>
              <w:t>44.85%</w:t>
            </w:r>
          </w:p>
        </w:tc>
        <w:tc>
          <w:tcPr>
            <w:tcW w:type="dxa" w:w="1728"/>
          </w:tcPr>
          <w:p>
            <w:r>
              <w:rPr>
                <w:rFonts w:ascii="Calibri" w:hAnsi="Calibri"/>
                <w:sz w:val="22"/>
              </w:rPr>
              <w:t>-52 bps</w:t>
            </w:r>
          </w:p>
        </w:tc>
        <w:tc>
          <w:tcPr>
            <w:tcW w:type="dxa" w:w="1728"/>
          </w:tcPr>
          <w:p>
            <w:r>
              <w:rPr>
                <w:rFonts w:ascii="Calibri" w:hAnsi="Calibri"/>
                <w:b/>
                <w:color w:val="E5484D"/>
                <w:sz w:val="22"/>
              </w:rPr>
              <w:t>Miss</w:t>
            </w:r>
          </w:p>
        </w:tc>
      </w:tr>
      <w:tr>
        <w:tc>
          <w:tcPr>
            <w:tcW w:type="dxa" w:w="1728"/>
          </w:tcPr>
          <w:p>
            <w:r>
              <w:rPr>
                <w:rFonts w:ascii="Calibri" w:hAnsi="Calibri"/>
                <w:sz w:val="22"/>
              </w:rPr>
              <w:t>Q1 2026</w:t>
            </w:r>
          </w:p>
        </w:tc>
        <w:tc>
          <w:tcPr>
            <w:tcW w:type="dxa" w:w="1728"/>
          </w:tcPr>
          <w:p>
            <w:r>
              <w:rPr>
                <w:rFonts w:ascii="Calibri" w:hAnsi="Calibri"/>
                <w:sz w:val="22"/>
              </w:rPr>
              <w:t>44.64%</w:t>
            </w:r>
          </w:p>
        </w:tc>
        <w:tc>
          <w:tcPr>
            <w:tcW w:type="dxa" w:w="1728"/>
          </w:tcPr>
          <w:p>
            <w:r>
              <w:rPr>
                <w:rFonts w:ascii="Calibri" w:hAnsi="Calibri"/>
                <w:sz w:val="22"/>
              </w:rPr>
              <w:t>44.83%</w:t>
            </w:r>
          </w:p>
        </w:tc>
        <w:tc>
          <w:tcPr>
            <w:tcW w:type="dxa" w:w="1728"/>
          </w:tcPr>
          <w:p>
            <w:r>
              <w:rPr>
                <w:rFonts w:ascii="Calibri" w:hAnsi="Calibri"/>
                <w:sz w:val="22"/>
              </w:rPr>
              <w:t>-19 bps</w:t>
            </w:r>
          </w:p>
        </w:tc>
        <w:tc>
          <w:tcPr>
            <w:tcW w:type="dxa" w:w="1728"/>
          </w:tcPr>
          <w:p>
            <w:r>
              <w:rPr>
                <w:rFonts w:ascii="Calibri" w:hAnsi="Calibri"/>
                <w:b/>
                <w:color w:val="E5484D"/>
                <w:sz w:val="22"/>
              </w:rPr>
              <w:t>Miss</w:t>
            </w:r>
          </w:p>
        </w:tc>
      </w:tr>
    </w:tbl>
    <w:p>
      <w:r>
        <w:rPr>
          <w:rFonts w:ascii="Calibri" w:hAnsi="Calibri"/>
          <w:b/>
          <w:color w:val="525866"/>
          <w:sz w:val="22"/>
        </w:rPr>
        <w:t xml:space="preserve">Pattern: </w:t>
      </w:r>
      <w:r>
        <w:rPr>
          <w:rFonts w:ascii="Calibri" w:hAnsi="Calibri"/>
          <w:color w:val="525866"/>
          <w:sz w:val="22"/>
        </w:rPr>
        <w:t>DSR growth has beaten consensus in 4 of the last 5 quarters after a streak of misses in 2024, reflecting accelerating market share gains — the bar on this KPI is achievable. Gross margin consensus data is limited in VA for earlier quarters, but the two most recent quarters (Q4 2025 and Q1 2026) both missed, driven by tariff-related cost inflation outpacing pricing — this is the key risk heading into Q2 2026.</w:t>
      </w:r>
    </w:p>
    <w:p>
      <w:r>
        <w:rPr>
          <w:rFonts w:ascii="Calibri" w:hAnsi="Calibri"/>
          <w:i/>
          <w:color w:val="525866"/>
          <w:sz w:val="22"/>
        </w:rPr>
        <w:t>Source: Visible Alpha Consensus and Actuals Data.</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Management's tone has shifted from confident to cautiously optimistic since Q4 2025 — the Q1 2026 call introduced an explicit Q2 gross margin warning while reaffirming full-year incremental margin targets, a nuanced message that the Street has largely accepted but that leaves execution risk elevated.</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Topic</w:t>
            </w:r>
          </w:p>
        </w:tc>
        <w:tc>
          <w:tcPr>
            <w:tcW w:type="dxa" w:w="2160"/>
            <w:shd w:val="clear" w:color="auto" w:fill="3B4259"/>
          </w:tcPr>
          <w:p>
            <w:r>
              <w:rPr>
                <w:rFonts w:ascii="Calibri" w:hAnsi="Calibri"/>
                <w:b/>
                <w:color w:val="FFFFFF"/>
                <w:sz w:val="22"/>
              </w:rPr>
              <w:t>Q4 2025 Earnings Call (Jan 20, 2026) — Baseline</w:t>
            </w:r>
          </w:p>
        </w:tc>
        <w:tc>
          <w:tcPr>
            <w:tcW w:type="dxa" w:w="2160"/>
            <w:shd w:val="clear" w:color="auto" w:fill="3B4259"/>
          </w:tcPr>
          <w:p>
            <w:r>
              <w:rPr>
                <w:rFonts w:ascii="Calibri" w:hAnsi="Calibri"/>
                <w:b/>
                <w:color w:val="FFFFFF"/>
                <w:sz w:val="22"/>
              </w:rPr>
              <w:t>Q1 2026 Earnings Call (Apr 13, 2026) — Latest</w:t>
            </w:r>
          </w:p>
        </w:tc>
        <w:tc>
          <w:tcPr>
            <w:tcW w:type="dxa" w:w="2160"/>
            <w:shd w:val="clear" w:color="auto" w:fill="3B4259"/>
          </w:tcPr>
          <w:p>
            <w:r>
              <w:rPr>
                <w:rFonts w:ascii="Calibri" w:hAnsi="Calibri"/>
                <w:b/>
                <w:color w:val="FFFFFF"/>
                <w:sz w:val="22"/>
              </w:rPr>
              <w:t>Direction</w:t>
            </w:r>
          </w:p>
        </w:tc>
      </w:tr>
      <w:tr>
        <w:tc>
          <w:tcPr>
            <w:tcW w:type="dxa" w:w="2160"/>
          </w:tcPr>
          <w:p>
            <w:r>
              <w:rPr>
                <w:rFonts w:ascii="Calibri" w:hAnsi="Calibri"/>
                <w:sz w:val="22"/>
              </w:rPr>
              <w:t>Daily Sales Growth</w:t>
            </w:r>
          </w:p>
        </w:tc>
        <w:tc>
          <w:tcPr>
            <w:tcW w:type="dxa" w:w="2160"/>
          </w:tcPr>
          <w:p>
            <w:r>
              <w:rPr>
                <w:rFonts w:ascii="Calibri" w:hAnsi="Calibri"/>
                <w:sz w:val="22"/>
              </w:rPr>
              <w:t>Anticipated "double-digit net sales growth in 2026"; felt "really good about the momentum"</w:t>
            </w:r>
          </w:p>
        </w:tc>
        <w:tc>
          <w:tcPr>
            <w:tcW w:type="dxa" w:w="2160"/>
          </w:tcPr>
          <w:p>
            <w:r>
              <w:rPr>
                <w:rFonts w:ascii="Calibri" w:hAnsi="Calibri"/>
                <w:sz w:val="22"/>
              </w:rPr>
              <w:t>Delivered 12.4% DSR in Q1; April "continuing to expand our markets"; "cautiously optimistic" on continued growth; internally expect share gains to increase</w:t>
            </w:r>
          </w:p>
        </w:tc>
        <w:tc>
          <w:tcPr>
            <w:tcW w:type="dxa" w:w="2160"/>
          </w:tcPr>
          <w:p>
            <w:r>
              <w:rPr>
                <w:rFonts w:ascii="Calibri" w:hAnsi="Calibri"/>
                <w:b/>
                <w:sz w:val="22"/>
              </w:rPr>
              <w:t>→ Confirmed / Slightly More Cautious Tone</w:t>
            </w:r>
          </w:p>
        </w:tc>
      </w:tr>
      <w:tr>
        <w:tc>
          <w:tcPr>
            <w:tcW w:type="dxa" w:w="2160"/>
          </w:tcPr>
          <w:p>
            <w:r>
              <w:rPr>
                <w:rFonts w:ascii="Calibri" w:hAnsi="Calibri"/>
                <w:sz w:val="22"/>
              </w:rPr>
              <w:t>Gross Margin</w:t>
            </w:r>
          </w:p>
        </w:tc>
        <w:tc>
          <w:tcPr>
            <w:tcW w:type="dxa" w:w="2160"/>
          </w:tcPr>
          <w:p>
            <w:r>
              <w:rPr>
                <w:rFonts w:ascii="Calibri" w:hAnsi="Calibri"/>
                <w:sz w:val="22"/>
              </w:rPr>
              <w:t>Expected "modest annual gross margin contraction" for 2026 to be offset within SG&amp;A; fastener expansion project to anniversary after Q1</w:t>
            </w:r>
          </w:p>
        </w:tc>
        <w:tc>
          <w:tcPr>
            <w:tcW w:type="dxa" w:w="2160"/>
          </w:tcPr>
          <w:p>
            <w:r>
              <w:rPr>
                <w:rFonts w:ascii="Calibri" w:hAnsi="Calibri"/>
                <w:sz w:val="22"/>
              </w:rPr>
              <w:t>Q1 came in ~40 bps below internal target; tariff costs moved through P&amp;L faster than pricing; fastener benefits anniversary early Q2; Q2 "challenging"; H2 recovery expected as pricing actions take effect</w:t>
            </w:r>
          </w:p>
        </w:tc>
        <w:tc>
          <w:tcPr>
            <w:tcW w:type="dxa" w:w="2160"/>
          </w:tcPr>
          <w:p>
            <w:r>
              <w:rPr>
                <w:rFonts w:ascii="Calibri" w:hAnsi="Calibri"/>
                <w:b/>
                <w:color w:val="E5484D"/>
                <w:sz w:val="22"/>
              </w:rPr>
              <w:t>↓ Deteriorated / More Cautious</w:t>
            </w:r>
          </w:p>
        </w:tc>
      </w:tr>
      <w:tr>
        <w:tc>
          <w:tcPr>
            <w:tcW w:type="dxa" w:w="2160"/>
          </w:tcPr>
          <w:p>
            <w:r>
              <w:rPr>
                <w:rFonts w:ascii="Calibri" w:hAnsi="Calibri"/>
                <w:sz w:val="22"/>
              </w:rPr>
              <w:t>Operating Margin / Incremental Margin</w:t>
            </w:r>
          </w:p>
        </w:tc>
        <w:tc>
          <w:tcPr>
            <w:tcW w:type="dxa" w:w="2160"/>
          </w:tcPr>
          <w:p>
            <w:r>
              <w:rPr>
                <w:rFonts w:ascii="Calibri" w:hAnsi="Calibri"/>
                <w:sz w:val="22"/>
              </w:rPr>
              <w:t>Modest gross margin contraction to be offset by SG&amp;A efficiencies; incentive comp reload only impacts Q1 2026; high-20s incremental margins targeted</w:t>
            </w:r>
          </w:p>
        </w:tc>
        <w:tc>
          <w:tcPr>
            <w:tcW w:type="dxa" w:w="2160"/>
          </w:tcPr>
          <w:p>
            <w:r>
              <w:rPr>
                <w:rFonts w:ascii="Calibri" w:hAnsi="Calibri"/>
                <w:sz w:val="22"/>
              </w:rPr>
              <w:t>Q1 operating margin 20.3% (+20 bps YoY) driven by strong SG&amp;A leverage; confirmed high-20s incremental margin target for FY2026 despite Q1 gross margin miss</w:t>
            </w:r>
          </w:p>
        </w:tc>
        <w:tc>
          <w:tcPr>
            <w:tcW w:type="dxa" w:w="2160"/>
          </w:tcPr>
          <w:p>
            <w:r>
              <w:rPr>
                <w:rFonts w:ascii="Calibri" w:hAnsi="Calibri"/>
                <w:b/>
                <w:sz w:val="22"/>
              </w:rPr>
              <w:t>→ Confirmed / Stable</w:t>
            </w:r>
          </w:p>
        </w:tc>
      </w:tr>
      <w:tr>
        <w:tc>
          <w:tcPr>
            <w:tcW w:type="dxa" w:w="2160"/>
          </w:tcPr>
          <w:p>
            <w:r>
              <w:rPr>
                <w:rFonts w:ascii="Calibri" w:hAnsi="Calibri"/>
                <w:sz w:val="22"/>
              </w:rPr>
              <w:t>Pricing</w:t>
            </w:r>
          </w:p>
        </w:tc>
        <w:tc>
          <w:tcPr>
            <w:tcW w:type="dxa" w:w="2160"/>
          </w:tcPr>
          <w:p>
            <w:r>
              <w:rPr>
                <w:rFonts w:ascii="Calibri" w:hAnsi="Calibri"/>
                <w:sz w:val="22"/>
              </w:rPr>
              <w:t>Avoided specific targets due to past inaccuracies; expected carryover pricing impacts and "positive compare"; will "continue to go after pricing"</w:t>
            </w:r>
          </w:p>
        </w:tc>
        <w:tc>
          <w:tcPr>
            <w:tcW w:type="dxa" w:w="2160"/>
          </w:tcPr>
          <w:p>
            <w:r>
              <w:rPr>
                <w:rFonts w:ascii="Calibri" w:hAnsi="Calibri"/>
                <w:sz w:val="22"/>
              </w:rPr>
              <w:t>Realized ~3.5% YoY pricing in Q1; pricing fell short of internal target due to tariff uncertainty slowing customer conversations; pricing actions already in motion for H2 recovery</w:t>
            </w:r>
          </w:p>
        </w:tc>
        <w:tc>
          <w:tcPr>
            <w:tcW w:type="dxa" w:w="2160"/>
          </w:tcPr>
          <w:p>
            <w:r>
              <w:rPr>
                <w:rFonts w:ascii="Calibri" w:hAnsi="Calibri"/>
                <w:b/>
                <w:color w:val="E5484D"/>
                <w:sz w:val="22"/>
              </w:rPr>
              <w:t>↓ Underperforming / Cautious</w:t>
            </w:r>
          </w:p>
        </w:tc>
      </w:tr>
      <w:tr>
        <w:tc>
          <w:tcPr>
            <w:tcW w:type="dxa" w:w="2160"/>
          </w:tcPr>
          <w:p>
            <w:r>
              <w:rPr>
                <w:rFonts w:ascii="Calibri" w:hAnsi="Calibri"/>
                <w:sz w:val="22"/>
              </w:rPr>
              <w:t>FMI Technology / Digital Footprint</w:t>
            </w:r>
          </w:p>
        </w:tc>
        <w:tc>
          <w:tcPr>
            <w:tcW w:type="dxa" w:w="2160"/>
          </w:tcPr>
          <w:p>
            <w:r>
              <w:rPr>
                <w:rFonts w:ascii="Calibri" w:hAnsi="Calibri"/>
                <w:sz w:val="22"/>
              </w:rPr>
              <w:t>FY2026 MEU signing target of 28,000–30,000 (vs. 25,892 in 2025); FMI driving above-company-average growth</w:t>
            </w:r>
          </w:p>
        </w:tc>
        <w:tc>
          <w:tcPr>
            <w:tcW w:type="dxa" w:w="2160"/>
          </w:tcPr>
          <w:p>
            <w:r>
              <w:rPr>
                <w:rFonts w:ascii="Calibri" w:hAnsi="Calibri"/>
                <w:sz w:val="22"/>
              </w:rPr>
              <w:t>FMI sales reached $1.0B in Q1 2026 for first time; digital penetration &gt;60%; on-site and vending signings tracking to target</w:t>
            </w:r>
          </w:p>
        </w:tc>
        <w:tc>
          <w:tcPr>
            <w:tcW w:type="dxa" w:w="2160"/>
          </w:tcPr>
          <w:p>
            <w:r>
              <w:rPr>
                <w:rFonts w:ascii="Calibri" w:hAnsi="Calibri"/>
                <w:b/>
                <w:color w:val="30A46C"/>
                <w:sz w:val="22"/>
              </w:rPr>
              <w:t>↑ Positive / On Track</w:t>
            </w:r>
          </w:p>
        </w:tc>
      </w:tr>
      <w:tr>
        <w:tc>
          <w:tcPr>
            <w:tcW w:type="dxa" w:w="2160"/>
          </w:tcPr>
          <w:p>
            <w:r>
              <w:rPr>
                <w:rFonts w:ascii="Calibri" w:hAnsi="Calibri"/>
                <w:sz w:val="22"/>
              </w:rPr>
              <w:t>Capital Expenditures</w:t>
            </w:r>
          </w:p>
        </w:tc>
        <w:tc>
          <w:tcPr>
            <w:tcW w:type="dxa" w:w="2160"/>
          </w:tcPr>
          <w:p>
            <w:r>
              <w:rPr>
                <w:rFonts w:ascii="Calibri" w:hAnsi="Calibri"/>
                <w:sz w:val="22"/>
              </w:rPr>
              <w:t>Expected ~3.5% of sales in 2026 (vs. 2.8% in 2025); investing in hub capacity, FMI devices, automation, IT</w:t>
            </w:r>
          </w:p>
        </w:tc>
        <w:tc>
          <w:tcPr>
            <w:tcW w:type="dxa" w:w="2160"/>
          </w:tcPr>
          <w:p>
            <w:r>
              <w:rPr>
                <w:rFonts w:ascii="Calibri" w:hAnsi="Calibri"/>
                <w:sz w:val="22"/>
              </w:rPr>
              <w:t>Q1 CapEx of $57.6M; on track with FY2026 plan; no change to investment priorities</w:t>
            </w:r>
          </w:p>
        </w:tc>
        <w:tc>
          <w:tcPr>
            <w:tcW w:type="dxa" w:w="2160"/>
          </w:tcPr>
          <w:p>
            <w:r>
              <w:rPr>
                <w:rFonts w:ascii="Calibri" w:hAnsi="Calibri"/>
                <w:b/>
                <w:sz w:val="22"/>
              </w:rPr>
              <w:t>→ Confirmed / Stable</w:t>
            </w:r>
          </w:p>
        </w:tc>
      </w:tr>
      <w:tr>
        <w:tc>
          <w:tcPr>
            <w:tcW w:type="dxa" w:w="2160"/>
          </w:tcPr>
          <w:p>
            <w:r>
              <w:rPr>
                <w:rFonts w:ascii="Calibri" w:hAnsi="Calibri"/>
                <w:sz w:val="22"/>
              </w:rPr>
              <w:t>Macro / End Markets</w:t>
            </w:r>
          </w:p>
        </w:tc>
        <w:tc>
          <w:tcPr>
            <w:tcW w:type="dxa" w:w="2160"/>
          </w:tcPr>
          <w:p>
            <w:r>
              <w:rPr>
                <w:rFonts w:ascii="Calibri" w:hAnsi="Calibri"/>
                <w:sz w:val="22"/>
              </w:rPr>
              <w:t>Self-help as primary driver; welcoming any green shoots; non-residential construction returning to growth</w:t>
            </w:r>
          </w:p>
        </w:tc>
        <w:tc>
          <w:tcPr>
            <w:tcW w:type="dxa" w:w="2160"/>
          </w:tcPr>
          <w:p>
            <w:r>
              <w:rPr>
                <w:rFonts w:ascii="Calibri" w:hAnsi="Calibri"/>
                <w:sz w:val="22"/>
              </w:rPr>
              <w:t>Non-residential construction strong; international (Europe, Asia) accelerating; non-manufacturing $50K+/mo sites growing faster than manufacturing on % basis</w:t>
            </w:r>
          </w:p>
        </w:tc>
        <w:tc>
          <w:tcPr>
            <w:tcW w:type="dxa" w:w="2160"/>
          </w:tcPr>
          <w:p>
            <w:r>
              <w:rPr>
                <w:rFonts w:ascii="Calibri" w:hAnsi="Calibri"/>
                <w:b/>
                <w:color w:val="30A46C"/>
                <w:sz w:val="22"/>
              </w:rPr>
              <w:t>↑ Improving / Broadening</w:t>
            </w:r>
          </w:p>
        </w:tc>
      </w:tr>
    </w:tbl>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Estimate revisions since the Q1 2026 print have been modest and stable — the Street absorbed management's cautious Q2 gross margin tone without a dramatic reset, suggesting consensus is already pricing in some Q2 pressure and the bar is not elevated.</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KPI</w:t>
            </w:r>
          </w:p>
        </w:tc>
        <w:tc>
          <w:tcPr>
            <w:tcW w:type="dxa" w:w="1728"/>
            <w:shd w:val="clear" w:color="auto" w:fill="3B4259"/>
          </w:tcPr>
          <w:p>
            <w:r>
              <w:rPr>
                <w:rFonts w:ascii="Calibri" w:hAnsi="Calibri"/>
                <w:b/>
                <w:color w:val="FFFFFF"/>
                <w:sz w:val="22"/>
              </w:rPr>
              <w:t>Pre-Q1 Earnings Consensus (approx.)</w:t>
            </w:r>
          </w:p>
        </w:tc>
        <w:tc>
          <w:tcPr>
            <w:tcW w:type="dxa" w:w="1728"/>
            <w:shd w:val="clear" w:color="auto" w:fill="3B4259"/>
          </w:tcPr>
          <w:p>
            <w:r>
              <w:rPr>
                <w:rFonts w:ascii="Calibri" w:hAnsi="Calibri"/>
                <w:b/>
                <w:color w:val="FFFFFF"/>
                <w:sz w:val="22"/>
              </w:rPr>
              <w:t>Post-Q1 Earnings Consensus (as of Apr 18, 2026)</w:t>
            </w:r>
          </w:p>
        </w:tc>
        <w:tc>
          <w:tcPr>
            <w:tcW w:type="dxa" w:w="1728"/>
            <w:shd w:val="clear" w:color="auto" w:fill="3B4259"/>
          </w:tcPr>
          <w:p>
            <w:r>
              <w:rPr>
                <w:rFonts w:ascii="Calibri" w:hAnsi="Calibri"/>
                <w:b/>
                <w:color w:val="FFFFFF"/>
                <w:sz w:val="22"/>
              </w:rPr>
              <w:t>Direction</w:t>
            </w:r>
          </w:p>
        </w:tc>
        <w:tc>
          <w:tcPr>
            <w:tcW w:type="dxa" w:w="1728"/>
            <w:shd w:val="clear" w:color="auto" w:fill="3B4259"/>
          </w:tcPr>
          <w:p>
            <w:r>
              <w:rPr>
                <w:rFonts w:ascii="Calibri" w:hAnsi="Calibri"/>
                <w:b/>
                <w:color w:val="FFFFFF"/>
                <w:sz w:val="22"/>
              </w:rPr>
              <w:t>Commentary</w:t>
            </w:r>
          </w:p>
        </w:tc>
      </w:tr>
      <w:tr>
        <w:tc>
          <w:tcPr>
            <w:tcW w:type="dxa" w:w="1728"/>
          </w:tcPr>
          <w:p>
            <w:r>
              <w:rPr>
                <w:rFonts w:ascii="Calibri" w:hAnsi="Calibri"/>
                <w:sz w:val="22"/>
              </w:rPr>
              <w:t>Q2 2026 Net Sales ($M)</w:t>
            </w:r>
          </w:p>
        </w:tc>
        <w:tc>
          <w:tcPr>
            <w:tcW w:type="dxa" w:w="1728"/>
          </w:tcPr>
          <w:p>
            <w:r>
              <w:rPr>
                <w:rFonts w:ascii="Calibri" w:hAnsi="Calibri"/>
                <w:sz w:val="22"/>
              </w:rPr>
              <w:t>~$2,320M (pre-Q1 build_va_matrix)</w:t>
            </w:r>
          </w:p>
        </w:tc>
        <w:tc>
          <w:tcPr>
            <w:tcW w:type="dxa" w:w="1728"/>
          </w:tcPr>
          <w:p>
            <w:r>
              <w:rPr>
                <w:rFonts w:ascii="Calibri" w:hAnsi="Calibri"/>
                <w:sz w:val="22"/>
              </w:rPr>
              <w:t>$2,342.0M ¹</w:t>
            </w:r>
          </w:p>
        </w:tc>
        <w:tc>
          <w:tcPr>
            <w:tcW w:type="dxa" w:w="1728"/>
          </w:tcPr>
          <w:p>
            <w:r>
              <w:rPr>
                <w:rFonts w:ascii="Calibri" w:hAnsi="Calibri"/>
                <w:b/>
                <w:color w:val="30A46C"/>
                <w:sz w:val="22"/>
              </w:rPr>
              <w:t>↑ Slight Upward Revision</w:t>
            </w:r>
          </w:p>
        </w:tc>
        <w:tc>
          <w:tcPr>
            <w:tcW w:type="dxa" w:w="1728"/>
          </w:tcPr>
          <w:p>
            <w:r>
              <w:rPr>
                <w:rFonts w:ascii="Calibri" w:hAnsi="Calibri"/>
                <w:sz w:val="22"/>
              </w:rPr>
              <w:t>Reflects Q1 beat on DSR and April momentum commentary</w:t>
            </w:r>
          </w:p>
        </w:tc>
      </w:tr>
      <w:tr>
        <w:tc>
          <w:tcPr>
            <w:tcW w:type="dxa" w:w="1728"/>
          </w:tcPr>
          <w:p>
            <w:r>
              <w:rPr>
                <w:rFonts w:ascii="Calibri" w:hAnsi="Calibri"/>
                <w:sz w:val="22"/>
              </w:rPr>
              <w:t>Q2 2026 DSR Growth (%)</w:t>
            </w:r>
          </w:p>
        </w:tc>
        <w:tc>
          <w:tcPr>
            <w:tcW w:type="dxa" w:w="1728"/>
          </w:tcPr>
          <w:p>
            <w:r>
              <w:rPr>
                <w:rFonts w:ascii="Calibri" w:hAnsi="Calibri"/>
                <w:sz w:val="22"/>
              </w:rPr>
              <w:t>~12.5% (pre-Q1 build_va_matrix)</w:t>
            </w:r>
          </w:p>
        </w:tc>
        <w:tc>
          <w:tcPr>
            <w:tcW w:type="dxa" w:w="1728"/>
          </w:tcPr>
          <w:p>
            <w:r>
              <w:rPr>
                <w:rFonts w:ascii="Calibri" w:hAnsi="Calibri"/>
                <w:sz w:val="22"/>
              </w:rPr>
              <w:t>12.5% ¹</w:t>
            </w:r>
          </w:p>
        </w:tc>
        <w:tc>
          <w:tcPr>
            <w:tcW w:type="dxa" w:w="1728"/>
          </w:tcPr>
          <w:p>
            <w:r>
              <w:rPr>
                <w:rFonts w:ascii="Calibri" w:hAnsi="Calibri"/>
                <w:sz w:val="22"/>
              </w:rPr>
              <w:t>→ Stable</w:t>
            </w:r>
          </w:p>
        </w:tc>
        <w:tc>
          <w:tcPr>
            <w:tcW w:type="dxa" w:w="1728"/>
          </w:tcPr>
          <w:p>
            <w:r>
              <w:rPr>
                <w:rFonts w:ascii="Calibri" w:hAnsi="Calibri"/>
                <w:sz w:val="22"/>
              </w:rPr>
              <w:t>Consensus essentially unchanged; Q1 in-line result and April commentary provided no catalyst for revision</w:t>
            </w:r>
          </w:p>
        </w:tc>
      </w:tr>
      <w:tr>
        <w:tc>
          <w:tcPr>
            <w:tcW w:type="dxa" w:w="1728"/>
          </w:tcPr>
          <w:p>
            <w:r>
              <w:rPr>
                <w:rFonts w:ascii="Calibri" w:hAnsi="Calibri"/>
                <w:sz w:val="22"/>
              </w:rPr>
              <w:t>Q2 2026 Gross Margin (%)</w:t>
            </w:r>
          </w:p>
        </w:tc>
        <w:tc>
          <w:tcPr>
            <w:tcW w:type="dxa" w:w="1728"/>
          </w:tcPr>
          <w:p>
            <w:r>
              <w:rPr>
                <w:rFonts w:ascii="Calibri" w:hAnsi="Calibri"/>
                <w:sz w:val="22"/>
              </w:rPr>
              <w:t>~44.8% (pre-Q1 build_va_matrix)</w:t>
            </w:r>
          </w:p>
        </w:tc>
        <w:tc>
          <w:tcPr>
            <w:tcW w:type="dxa" w:w="1728"/>
          </w:tcPr>
          <w:p>
            <w:r>
              <w:rPr>
                <w:rFonts w:ascii="Calibri" w:hAnsi="Calibri"/>
                <w:sz w:val="22"/>
              </w:rPr>
              <w:t>44.6% ¹</w:t>
            </w:r>
          </w:p>
        </w:tc>
        <w:tc>
          <w:tcPr>
            <w:tcW w:type="dxa" w:w="1728"/>
          </w:tcPr>
          <w:p>
            <w:r>
              <w:rPr>
                <w:rFonts w:ascii="Calibri" w:hAnsi="Calibri"/>
                <w:b/>
                <w:color w:val="E5484D"/>
                <w:sz w:val="22"/>
              </w:rPr>
              <w:t>↓ Modest Downward Revision</w:t>
            </w:r>
          </w:p>
        </w:tc>
        <w:tc>
          <w:tcPr>
            <w:tcW w:type="dxa" w:w="1728"/>
          </w:tcPr>
          <w:p>
            <w:r>
              <w:rPr>
                <w:rFonts w:ascii="Calibri" w:hAnsi="Calibri"/>
                <w:sz w:val="22"/>
              </w:rPr>
              <w:t>Street absorbed Q1 miss and management's explicit Q2 "challenging" commentary; ~20 bps reduction</w:t>
            </w:r>
          </w:p>
        </w:tc>
      </w:tr>
      <w:tr>
        <w:tc>
          <w:tcPr>
            <w:tcW w:type="dxa" w:w="1728"/>
          </w:tcPr>
          <w:p>
            <w:r>
              <w:rPr>
                <w:rFonts w:ascii="Calibri" w:hAnsi="Calibri"/>
                <w:sz w:val="22"/>
              </w:rPr>
              <w:t>Q2 2026 Operating Margin (%)</w:t>
            </w:r>
          </w:p>
        </w:tc>
        <w:tc>
          <w:tcPr>
            <w:tcW w:type="dxa" w:w="1728"/>
          </w:tcPr>
          <w:p>
            <w:r>
              <w:rPr>
                <w:rFonts w:ascii="Calibri" w:hAnsi="Calibri"/>
                <w:sz w:val="22"/>
              </w:rPr>
              <w:t>~20.6% (pre-Q1 build_va_matrix)</w:t>
            </w:r>
          </w:p>
        </w:tc>
        <w:tc>
          <w:tcPr>
            <w:tcW w:type="dxa" w:w="1728"/>
          </w:tcPr>
          <w:p>
            <w:r>
              <w:rPr>
                <w:rFonts w:ascii="Calibri" w:hAnsi="Calibri"/>
                <w:sz w:val="22"/>
              </w:rPr>
              <w:t>21.3% ¹</w:t>
            </w:r>
          </w:p>
        </w:tc>
        <w:tc>
          <w:tcPr>
            <w:tcW w:type="dxa" w:w="1728"/>
          </w:tcPr>
          <w:p>
            <w:r>
              <w:rPr>
                <w:rFonts w:ascii="Calibri" w:hAnsi="Calibri"/>
                <w:b/>
                <w:color w:val="30A46C"/>
                <w:sz w:val="22"/>
              </w:rPr>
              <w:t>↑ Upward Revision</w:t>
            </w:r>
          </w:p>
        </w:tc>
        <w:tc>
          <w:tcPr>
            <w:tcW w:type="dxa" w:w="1728"/>
          </w:tcPr>
          <w:p>
            <w:r>
              <w:rPr>
                <w:rFonts w:ascii="Calibri" w:hAnsi="Calibri"/>
                <w:sz w:val="22"/>
              </w:rPr>
              <w:t>Reflects confidence in SG&amp;A leverage offsetting gross margin pressure; incentive comp reload no longer a headwind in Q2</w:t>
            </w:r>
          </w:p>
        </w:tc>
      </w:tr>
      <w:tr>
        <w:tc>
          <w:tcPr>
            <w:tcW w:type="dxa" w:w="1728"/>
          </w:tcPr>
          <w:p>
            <w:r>
              <w:rPr>
                <w:rFonts w:ascii="Calibri" w:hAnsi="Calibri"/>
                <w:sz w:val="22"/>
              </w:rPr>
              <w:t>Q2 2026 EPS — Diluted Operating ($)</w:t>
            </w:r>
          </w:p>
        </w:tc>
        <w:tc>
          <w:tcPr>
            <w:tcW w:type="dxa" w:w="1728"/>
          </w:tcPr>
          <w:p>
            <w:r>
              <w:rPr>
                <w:rFonts w:ascii="Calibri" w:hAnsi="Calibri"/>
                <w:sz w:val="22"/>
              </w:rPr>
              <w:t>~$0.281 (Q2 2025 consensus from VA)</w:t>
            </w:r>
          </w:p>
        </w:tc>
        <w:tc>
          <w:tcPr>
            <w:tcW w:type="dxa" w:w="1728"/>
          </w:tcPr>
          <w:p>
            <w:r>
              <w:rPr>
                <w:rFonts w:ascii="Calibri" w:hAnsi="Calibri"/>
                <w:sz w:val="22"/>
              </w:rPr>
              <w:t>$0.327 ¹</w:t>
            </w:r>
          </w:p>
        </w:tc>
        <w:tc>
          <w:tcPr>
            <w:tcW w:type="dxa" w:w="1728"/>
          </w:tcPr>
          <w:p>
            <w:r>
              <w:rPr>
                <w:rFonts w:ascii="Calibri" w:hAnsi="Calibri"/>
                <w:b/>
                <w:color w:val="30A46C"/>
                <w:sz w:val="22"/>
              </w:rPr>
              <w:t>↑ Significant Upward Revision</w:t>
            </w:r>
          </w:p>
        </w:tc>
        <w:tc>
          <w:tcPr>
            <w:tcW w:type="dxa" w:w="1728"/>
          </w:tcPr>
          <w:p>
            <w:r>
              <w:rPr>
                <w:rFonts w:ascii="Calibri" w:hAnsi="Calibri"/>
                <w:sz w:val="22"/>
              </w:rPr>
              <w:t>Reflects double-digit sales growth and operating leverage; Q2 2025 actual was $0.286, implying ~14% YoY growth expected</w:t>
            </w:r>
          </w:p>
        </w:tc>
      </w:tr>
      <w:tr>
        <w:tc>
          <w:tcPr>
            <w:tcW w:type="dxa" w:w="1728"/>
          </w:tcPr>
          <w:p>
            <w:r>
              <w:rPr>
                <w:rFonts w:ascii="Calibri" w:hAnsi="Calibri"/>
                <w:sz w:val="22"/>
              </w:rPr>
              <w:t>FY2026 Net Sales ($B)</w:t>
            </w:r>
          </w:p>
        </w:tc>
        <w:tc>
          <w:tcPr>
            <w:tcW w:type="dxa" w:w="1728"/>
          </w:tcPr>
          <w:p>
            <w:r>
              <w:rPr>
                <w:rFonts w:ascii="Calibri" w:hAnsi="Calibri"/>
                <w:sz w:val="22"/>
              </w:rPr>
              <w:t>~$9.18B (pre-Q1 build_va_matrix)</w:t>
            </w:r>
          </w:p>
        </w:tc>
        <w:tc>
          <w:tcPr>
            <w:tcW w:type="dxa" w:w="1728"/>
          </w:tcPr>
          <w:p>
            <w:r>
              <w:rPr>
                <w:rFonts w:ascii="Calibri" w:hAnsi="Calibri"/>
                <w:sz w:val="22"/>
              </w:rPr>
              <w:t>$9.18B ¹</w:t>
            </w:r>
          </w:p>
        </w:tc>
        <w:tc>
          <w:tcPr>
            <w:tcW w:type="dxa" w:w="1728"/>
          </w:tcPr>
          <w:p>
            <w:r>
              <w:rPr>
                <w:rFonts w:ascii="Calibri" w:hAnsi="Calibri"/>
                <w:sz w:val="22"/>
              </w:rPr>
              <w:t>→ Stable</w:t>
            </w:r>
          </w:p>
        </w:tc>
        <w:tc>
          <w:tcPr>
            <w:tcW w:type="dxa" w:w="1728"/>
          </w:tcPr>
          <w:p>
            <w:r>
              <w:rPr>
                <w:rFonts w:ascii="Calibri" w:hAnsi="Calibri"/>
                <w:sz w:val="22"/>
              </w:rPr>
              <w:t>Full-year consensus unchanged; double-digit growth thesis intact</w:t>
            </w:r>
          </w:p>
        </w:tc>
      </w:tr>
    </w:tbl>
    <w:p>
      <w:r>
        <w:rPr>
          <w:rFonts w:ascii="Calibri" w:hAnsi="Calibri"/>
          <w:i/>
          <w:color w:val="525866"/>
          <w:sz w:val="22"/>
        </w:rPr>
        <w:t>¹ Source: Visible Alpha Consensus and Actuals Data (as-of date: April 18, 2026).</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 xml:space="preserve">FAST has recovered from its post-Q1 dip to trade near $47, roughly flat since earnings day (April 13 close: $45.80), while the XLI has rallied ~4% over the same period — suggesting the stock has </w:t>
      </w:r>
      <w:r>
        <w:rPr>
          <w:rFonts w:ascii="Calibri" w:hAnsi="Calibri"/>
          <w:b/>
          <w:color w:val="E5484D"/>
          <w:sz w:val="22"/>
        </w:rPr>
        <w:t>underperformed industrials</w:t>
      </w:r>
      <w:r>
        <w:rPr>
          <w:rFonts w:ascii="Calibri" w:hAnsi="Calibri"/>
          <w:color w:val="525866"/>
          <w:sz w:val="22"/>
        </w:rPr>
        <w:t xml:space="preserve"> since Q1 and has not yet priced in a Q2 beat. The stock's premium multiple (~38–40x P/E) leaves limited room for another gross margin miss.</w:t>
      </w:r>
    </w:p>
    <w:p>
      <w:r>
        <w:drawing>
          <wp:inline xmlns:a="http://schemas.openxmlformats.org/drawingml/2006/main" xmlns:pic="http://schemas.openxmlformats.org/drawingml/2006/picture">
            <wp:extent cx="4572000" cy="3265714"/>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4572000" cy="3265714"/>
                    </a:xfrm>
                    <a:prstGeom prst="rect"/>
                  </pic:spPr>
                </pic:pic>
              </a:graphicData>
            </a:graphic>
          </wp:inline>
        </w:drawing>
      </w:r>
    </w:p>
    <w:p>
      <w:pPr>
        <w:jc w:val="center"/>
      </w:pPr>
      <w:r>
        <w:rPr>
          <w:i/>
          <w:color w:val="666666"/>
          <w:sz w:val="18"/>
        </w:rPr>
        <w:t>FAST vs. XLI vs. SPY — Indexed Price Performance Since Q1 2026 Earnings (April 13, 2026 – July 14, 2026). Source: Stock Price Data.</w:t>
      </w:r>
    </w:p>
    <w:p>
      <w:r>
        <w:rPr>
          <w:rFonts w:ascii="Calibri" w:hAnsi="Calibri"/>
          <w:color w:val="525866"/>
          <w:sz w:val="22"/>
        </w:rPr>
        <w:t>Since the Q1 2026 earnings print on April 13, 2026 (close: $45.80), FAST has traded in a range of approximately $43.26 (May 15 low) to $48.60 (July 2 high), closing at $46.49 on July 10, 2026 — a gain of only ~+1.5% vs. the XLI's ~+4.7% and SPY's ~+8.6% over the same period. The stock's relative underperformance reflects investor caution around the gross margin trajectory rather than any deterioration in the growth story. At ~$47, FAST trades at approximately 38–40x forward P/E on FY2026 consensus EPS of ~$1.24, a significant premium to the industrial distribution peer group (low-20s P/E). This premium is justified by FAST's superior growth profile and FMI-driven competitive moat, but it leaves the stock vulnerable to any negative surprise on gross margin. The dividend was raised 8.3% to $0.26/quarter (announced July 10, 2026), signaling management confidence in the business trajectory.</w:t>
      </w:r>
    </w:p>
    <w:p>
      <w:r>
        <w:rPr>
          <w:rFonts w:ascii="Calibri" w:hAnsi="Calibri"/>
          <w:i/>
          <w:color w:val="525866"/>
          <w:sz w:val="22"/>
        </w:rPr>
        <w:t>Source: Stock Price Data.</w:t>
      </w:r>
    </w:p>
    <w:p>
      <w:r>
        <w:br w:type="page"/>
      </w:r>
    </w:p>
    <w:p>
      <w:pPr>
        <w:pStyle w:val="Heading2"/>
      </w:pPr>
      <w:r>
        <w:rPr>
          <w:rFonts w:ascii="Calibri" w:hAnsi="Calibri"/>
          <w:b/>
          <w:color w:val="3B4259"/>
          <w:sz w:val="28"/>
        </w:rPr>
        <w:t>6. Material News &amp; Developments</w:t>
      </w:r>
    </w:p>
    <w:p>
      <w:r>
        <w:rPr>
          <w:rFonts w:ascii="Calibri" w:hAnsi="Calibri"/>
          <w:b/>
          <w:color w:val="525866"/>
          <w:sz w:val="22"/>
        </w:rPr>
        <w:t xml:space="preserve">Key Takeaway: </w:t>
      </w:r>
      <w:r>
        <w:rPr>
          <w:rFonts w:ascii="Calibri" w:hAnsi="Calibri"/>
          <w:color w:val="525866"/>
          <w:sz w:val="22"/>
        </w:rPr>
        <w:t>Post-Q1 corporate actions (credit facility expansion, board appointment, dividend raise) are all constructive signals — no negative pre-announcements or guidance cuts have been issued ahead of the Q2 print.</w:t>
      </w:r>
    </w:p>
    <w:p>
      <w:pPr>
        <w:pStyle w:val="ListBullet"/>
        <w:ind w:left="360" w:hanging="360"/>
      </w:pPr>
      <w:r>
        <w:rPr>
          <w:rFonts w:ascii="Calibri" w:hAnsi="Calibri"/>
          <w:b/>
          <w:color w:val="525866"/>
          <w:sz w:val="22"/>
        </w:rPr>
        <w:t xml:space="preserve">Dividend Raised 8.3% (July 10, 2026): </w:t>
      </w:r>
      <w:r>
        <w:rPr>
          <w:rFonts w:ascii="Calibri" w:hAnsi="Calibri"/>
          <w:color w:val="525866"/>
          <w:sz w:val="22"/>
        </w:rPr>
        <w:t>Fastenal declared a Q3 2026 quarterly dividend of $0.26/share (payable August 25, 2026 to shareholders of record July 28, 2026), up from $0.24/share in Q1 and Q2 2026. This represents an 8.3% increase and signals management confidence in the business trajectory. TTM dividend payout is now $0.96/share, implying a ~2.1% yield at current prices.</w:t>
      </w:r>
    </w:p>
    <w:p>
      <w:pPr>
        <w:pStyle w:val="ListBullet"/>
        <w:ind w:left="360" w:hanging="360"/>
      </w:pPr>
      <w:r>
        <w:rPr>
          <w:rFonts w:ascii="Calibri" w:hAnsi="Calibri"/>
          <w:b/>
          <w:color w:val="525866"/>
          <w:sz w:val="22"/>
        </w:rPr>
        <w:t xml:space="preserve">Credit Facility Expanded (June 23, 2026): </w:t>
      </w:r>
      <w:r>
        <w:rPr>
          <w:rFonts w:ascii="Calibri" w:hAnsi="Calibri"/>
          <w:color w:val="525866"/>
          <w:sz w:val="22"/>
        </w:rPr>
        <w:t>Fastenal boosted its revolving credit facility to $835M (from a lower prior limit), extended the maturity, and revised covenants. This provides additional financial flexibility to support the company's elevated CapEx program (~3.5% of sales in 2026) and potential share repurchases without constraining the balance sheet.</w:t>
      </w:r>
    </w:p>
    <w:p>
      <w:pPr>
        <w:pStyle w:val="ListBullet"/>
        <w:ind w:left="360" w:hanging="360"/>
      </w:pPr>
      <w:r>
        <w:rPr>
          <w:rFonts w:ascii="Calibri" w:hAnsi="Calibri"/>
          <w:b/>
          <w:color w:val="525866"/>
          <w:sz w:val="22"/>
        </w:rPr>
        <w:t xml:space="preserve">Board Appointment — Digital/Tech Expertise Added (June 12, 2026): </w:t>
      </w:r>
      <w:r>
        <w:rPr>
          <w:rFonts w:ascii="Calibri" w:hAnsi="Calibri"/>
          <w:color w:val="525866"/>
          <w:sz w:val="22"/>
        </w:rPr>
        <w:t>Fastenal appointed Vishal Talwar, FedEx's Digital Chief, to its Board of Directors. This is a strategically relevant appointment given Fastenal's ongoing investment in FMI technology, digital solutions, and supply chain automation — adding digital transformation expertise at the board level.</w:t>
      </w:r>
    </w:p>
    <w:p>
      <w:pPr>
        <w:pStyle w:val="ListBullet"/>
        <w:ind w:left="360" w:hanging="360"/>
      </w:pPr>
      <w:r>
        <w:rPr>
          <w:rFonts w:ascii="Calibri" w:hAnsi="Calibri"/>
          <w:b/>
          <w:color w:val="525866"/>
          <w:sz w:val="22"/>
        </w:rPr>
        <w:t xml:space="preserve">Shareholders Approve New Stock Compensation Plans (April 29, 2026): </w:t>
      </w:r>
      <w:r>
        <w:rPr>
          <w:rFonts w:ascii="Calibri" w:hAnsi="Calibri"/>
          <w:color w:val="525866"/>
          <w:sz w:val="22"/>
        </w:rPr>
        <w:t>Shareholders approved new RSU and stock compensation plans at the annual meeting, providing the company with equity compensation tools to retain talent as it scales its FMI and technology initiatives.</w:t>
      </w:r>
    </w:p>
    <w:p>
      <w:pPr>
        <w:pStyle w:val="ListBullet"/>
        <w:ind w:left="360" w:hanging="360"/>
      </w:pPr>
      <w:r>
        <w:rPr>
          <w:rFonts w:ascii="Calibri" w:hAnsi="Calibri"/>
          <w:b/>
          <w:color w:val="525866"/>
          <w:sz w:val="22"/>
        </w:rPr>
        <w:t xml:space="preserve">Q2 2026 Earnings Call Confirmed (June 26, 2026): </w:t>
      </w:r>
      <w:r>
        <w:rPr>
          <w:rFonts w:ascii="Calibri" w:hAnsi="Calibri"/>
          <w:color w:val="525866"/>
          <w:sz w:val="22"/>
        </w:rPr>
        <w:t>Fastenal officially announced the Q2 2026 earnings call for July 14, 2026 at 9:00 AM CT / 10:00 AM ET. No pre-announcement or guidance update was issued alongside this notice, consistent with the company's standard practice.</w:t>
      </w:r>
    </w:p>
    <w:p>
      <w:pPr>
        <w:pStyle w:val="ListBullet"/>
        <w:ind w:left="360" w:hanging="360"/>
      </w:pPr>
      <w:r>
        <w:rPr>
          <w:rFonts w:ascii="Calibri" w:hAnsi="Calibri"/>
          <w:b/>
          <w:color w:val="525866"/>
          <w:sz w:val="22"/>
        </w:rPr>
        <w:t xml:space="preserve">No Insider Open-Market Purchases or Sales: </w:t>
      </w:r>
      <w:r>
        <w:rPr>
          <w:rFonts w:ascii="Calibri" w:hAnsi="Calibri"/>
          <w:color w:val="525866"/>
          <w:sz w:val="22"/>
        </w:rPr>
        <w:t>The only insider transaction in the post-Q1 window was a Director (Michael J. Ancius) exercising stock options (1,000 shares, transaction code M/A on April 24, 2026) — a routine option exercise, not a discretionary open-market buy or sell. No insider selling signals are present heading into the print.</w:t>
      </w:r>
    </w:p>
    <w:p>
      <w:pPr>
        <w:pStyle w:val="Heading2"/>
      </w:pPr>
      <w:r>
        <w:rPr>
          <w:rFonts w:ascii="Calibri" w:hAnsi="Calibri"/>
          <w:b/>
          <w:color w:val="3B4259"/>
          <w:sz w:val="28"/>
        </w:rPr>
        <w:t>7. Insider Transaction Activity</w:t>
      </w:r>
    </w:p>
    <w:p>
      <w:r>
        <w:rPr>
          <w:rFonts w:ascii="Calibri" w:hAnsi="Calibri"/>
          <w:b/>
          <w:color w:val="525866"/>
          <w:sz w:val="22"/>
        </w:rPr>
        <w:t xml:space="preserve">Key Takeaway: </w:t>
      </w:r>
      <w:r>
        <w:rPr>
          <w:rFonts w:ascii="Calibri" w:hAnsi="Calibri"/>
          <w:color w:val="525866"/>
          <w:sz w:val="22"/>
        </w:rPr>
        <w:t>No discretionary open-market buying or selling by insiders in the post-Q1 window — the only transaction was a routine option exercise by a Director, which carries no directional signal.</w:t>
      </w:r>
    </w:p>
    <w:tbl>
      <w:tblPr>
        <w:tblStyle w:val="TableGrid"/>
        <w:tblW w:type="auto" w:w="0"/>
        <w:tblLook w:firstColumn="1" w:firstRow="1" w:lastColumn="0" w:lastRow="0" w:noHBand="0" w:noVBand="1" w:val="04A0"/>
      </w:tblPr>
      <w:tblGrid>
        <w:gridCol w:w="960"/>
        <w:gridCol w:w="960"/>
        <w:gridCol w:w="960"/>
        <w:gridCol w:w="960"/>
        <w:gridCol w:w="960"/>
        <w:gridCol w:w="960"/>
        <w:gridCol w:w="960"/>
        <w:gridCol w:w="960"/>
        <w:gridCol w:w="960"/>
      </w:tblGrid>
      <w:tr>
        <w:tc>
          <w:tcPr>
            <w:tcW w:type="dxa" w:w="960"/>
            <w:shd w:val="clear" w:color="auto" w:fill="3B4259"/>
          </w:tcPr>
          <w:p>
            <w:r>
              <w:rPr>
                <w:rFonts w:ascii="Calibri" w:hAnsi="Calibri"/>
                <w:b/>
                <w:color w:val="FFFFFF"/>
                <w:sz w:val="22"/>
              </w:rPr>
              <w:t>Insider</w:t>
            </w:r>
          </w:p>
        </w:tc>
        <w:tc>
          <w:tcPr>
            <w:tcW w:type="dxa" w:w="960"/>
            <w:shd w:val="clear" w:color="auto" w:fill="3B4259"/>
          </w:tcPr>
          <w:p>
            <w:r>
              <w:rPr>
                <w:rFonts w:ascii="Calibri" w:hAnsi="Calibri"/>
                <w:b/>
                <w:color w:val="FFFFFF"/>
                <w:sz w:val="22"/>
              </w:rPr>
              <w:t>Role</w:t>
            </w:r>
          </w:p>
        </w:tc>
        <w:tc>
          <w:tcPr>
            <w:tcW w:type="dxa" w:w="960"/>
            <w:shd w:val="clear" w:color="auto" w:fill="3B4259"/>
          </w:tcPr>
          <w:p>
            <w:r>
              <w:rPr>
                <w:rFonts w:ascii="Calibri" w:hAnsi="Calibri"/>
                <w:b/>
                <w:color w:val="FFFFFF"/>
                <w:sz w:val="22"/>
              </w:rPr>
              <w:t>Transaction Date</w:t>
            </w:r>
          </w:p>
        </w:tc>
        <w:tc>
          <w:tcPr>
            <w:tcW w:type="dxa" w:w="960"/>
            <w:shd w:val="clear" w:color="auto" w:fill="3B4259"/>
          </w:tcPr>
          <w:p>
            <w:r>
              <w:rPr>
                <w:rFonts w:ascii="Calibri" w:hAnsi="Calibri"/>
                <w:b/>
                <w:color w:val="FFFFFF"/>
                <w:sz w:val="22"/>
              </w:rPr>
              <w:t>Filing Date</w:t>
            </w:r>
          </w:p>
        </w:tc>
        <w:tc>
          <w:tcPr>
            <w:tcW w:type="dxa" w:w="960"/>
            <w:shd w:val="clear" w:color="auto" w:fill="3B4259"/>
          </w:tcPr>
          <w:p>
            <w:r>
              <w:rPr>
                <w:rFonts w:ascii="Calibri" w:hAnsi="Calibri"/>
                <w:b/>
                <w:color w:val="FFFFFF"/>
                <w:sz w:val="22"/>
              </w:rPr>
              <w:t>Type</w:t>
            </w:r>
          </w:p>
        </w:tc>
        <w:tc>
          <w:tcPr>
            <w:tcW w:type="dxa" w:w="960"/>
            <w:shd w:val="clear" w:color="auto" w:fill="3B4259"/>
          </w:tcPr>
          <w:p>
            <w:r>
              <w:rPr>
                <w:rFonts w:ascii="Calibri" w:hAnsi="Calibri"/>
                <w:b/>
                <w:color w:val="FFFFFF"/>
                <w:sz w:val="22"/>
              </w:rPr>
              <w:t>Shares</w:t>
            </w:r>
          </w:p>
        </w:tc>
        <w:tc>
          <w:tcPr>
            <w:tcW w:type="dxa" w:w="960"/>
            <w:shd w:val="clear" w:color="auto" w:fill="3B4259"/>
          </w:tcPr>
          <w:p>
            <w:r>
              <w:rPr>
                <w:rFonts w:ascii="Calibri" w:hAnsi="Calibri"/>
                <w:b/>
                <w:color w:val="FFFFFF"/>
                <w:sz w:val="22"/>
              </w:rPr>
              <w:t>Security</w:t>
            </w:r>
          </w:p>
        </w:tc>
        <w:tc>
          <w:tcPr>
            <w:tcW w:type="dxa" w:w="960"/>
            <w:shd w:val="clear" w:color="auto" w:fill="3B4259"/>
          </w:tcPr>
          <w:p>
            <w:r>
              <w:rPr>
                <w:rFonts w:ascii="Calibri" w:hAnsi="Calibri"/>
                <w:b/>
                <w:color w:val="FFFFFF"/>
                <w:sz w:val="22"/>
              </w:rPr>
              <w:t>Shares Owned After</w:t>
            </w:r>
          </w:p>
        </w:tc>
        <w:tc>
          <w:tcPr>
            <w:tcW w:type="dxa" w:w="960"/>
            <w:shd w:val="clear" w:color="auto" w:fill="3B4259"/>
          </w:tcPr>
          <w:p>
            <w:r>
              <w:rPr>
                <w:rFonts w:ascii="Calibri" w:hAnsi="Calibri"/>
                <w:b/>
                <w:color w:val="FFFFFF"/>
                <w:sz w:val="22"/>
              </w:rPr>
              <w:t>Signal</w:t>
            </w:r>
          </w:p>
        </w:tc>
      </w:tr>
      <w:tr>
        <w:tc>
          <w:tcPr>
            <w:tcW w:type="dxa" w:w="960"/>
          </w:tcPr>
          <w:p>
            <w:r>
              <w:rPr>
                <w:rFonts w:ascii="Calibri" w:hAnsi="Calibri"/>
                <w:sz w:val="22"/>
              </w:rPr>
              <w:t>Michael J. Ancius</w:t>
            </w:r>
          </w:p>
        </w:tc>
        <w:tc>
          <w:tcPr>
            <w:tcW w:type="dxa" w:w="960"/>
          </w:tcPr>
          <w:p>
            <w:r>
              <w:rPr>
                <w:rFonts w:ascii="Calibri" w:hAnsi="Calibri"/>
                <w:sz w:val="22"/>
              </w:rPr>
              <w:t>Director</w:t>
            </w:r>
          </w:p>
        </w:tc>
        <w:tc>
          <w:tcPr>
            <w:tcW w:type="dxa" w:w="960"/>
          </w:tcPr>
          <w:p>
            <w:r>
              <w:rPr>
                <w:rFonts w:ascii="Calibri" w:hAnsi="Calibri"/>
                <w:sz w:val="22"/>
              </w:rPr>
              <w:t>April 24, 2026</w:t>
            </w:r>
          </w:p>
        </w:tc>
        <w:tc>
          <w:tcPr>
            <w:tcW w:type="dxa" w:w="960"/>
          </w:tcPr>
          <w:p>
            <w:r>
              <w:rPr>
                <w:rFonts w:ascii="Calibri" w:hAnsi="Calibri"/>
                <w:sz w:val="22"/>
              </w:rPr>
              <w:t>April 27, 2026</w:t>
            </w:r>
          </w:p>
        </w:tc>
        <w:tc>
          <w:tcPr>
            <w:tcW w:type="dxa" w:w="960"/>
          </w:tcPr>
          <w:p>
            <w:r>
              <w:rPr>
                <w:rFonts w:ascii="Calibri" w:hAnsi="Calibri"/>
                <w:sz w:val="22"/>
              </w:rPr>
              <w:t>Option Exercise (M) / Acquisition (A)</w:t>
            </w:r>
          </w:p>
        </w:tc>
        <w:tc>
          <w:tcPr>
            <w:tcW w:type="dxa" w:w="960"/>
          </w:tcPr>
          <w:p>
            <w:r>
              <w:rPr>
                <w:rFonts w:ascii="Calibri" w:hAnsi="Calibri"/>
                <w:sz w:val="22"/>
              </w:rPr>
              <w:t>1,000</w:t>
            </w:r>
          </w:p>
        </w:tc>
        <w:tc>
          <w:tcPr>
            <w:tcW w:type="dxa" w:w="960"/>
          </w:tcPr>
          <w:p>
            <w:r>
              <w:rPr>
                <w:rFonts w:ascii="Calibri" w:hAnsi="Calibri"/>
                <w:sz w:val="22"/>
              </w:rPr>
              <w:t>Common Stock (from Stock Option)</w:t>
            </w:r>
          </w:p>
        </w:tc>
        <w:tc>
          <w:tcPr>
            <w:tcW w:type="dxa" w:w="960"/>
          </w:tcPr>
          <w:p>
            <w:r>
              <w:rPr>
                <w:rFonts w:ascii="Calibri" w:hAnsi="Calibri"/>
                <w:sz w:val="22"/>
              </w:rPr>
              <w:t>58,690</w:t>
            </w:r>
          </w:p>
        </w:tc>
        <w:tc>
          <w:tcPr>
            <w:tcW w:type="dxa" w:w="960"/>
          </w:tcPr>
          <w:p>
            <w:r>
              <w:rPr>
                <w:rFonts w:ascii="Calibri" w:hAnsi="Calibri"/>
                <w:sz w:val="22"/>
              </w:rPr>
              <w:t>Neutral — Routine Option Exercise</w:t>
            </w:r>
          </w:p>
        </w:tc>
      </w:tr>
    </w:tbl>
    <w:p>
      <w:r>
        <w:rPr>
          <w:rFonts w:ascii="Calibri" w:hAnsi="Calibri"/>
          <w:i/>
          <w:color w:val="525866"/>
          <w:sz w:val="22"/>
        </w:rPr>
        <w:t>Source: Insider Transaction Data (SEC Form 4 Filing — Ancius Michael J, FAST, filed April 27, 2026).</w:t>
      </w:r>
    </w:p>
    <w:p>
      <w:r>
        <w:br w:type="page"/>
      </w:r>
    </w:p>
    <w:p>
      <w:pPr>
        <w:pStyle w:val="Heading2"/>
      </w:pPr>
      <w:r>
        <w:rPr>
          <w:rFonts w:ascii="Calibri" w:hAnsi="Calibri"/>
          <w:b/>
          <w:color w:val="3B4259"/>
          <w:sz w:val="28"/>
        </w:rPr>
        <w:t>8. Peer Commentaries — Last 60 Days</w:t>
      </w:r>
    </w:p>
    <w:p>
      <w:r>
        <w:rPr>
          <w:rFonts w:ascii="Calibri" w:hAnsi="Calibri"/>
          <w:b/>
          <w:color w:val="525866"/>
          <w:sz w:val="22"/>
        </w:rPr>
        <w:t xml:space="preserve">Key Takeaway: </w:t>
      </w:r>
      <w:r>
        <w:rPr>
          <w:rFonts w:ascii="Calibri" w:hAnsi="Calibri"/>
          <w:color w:val="525866"/>
          <w:sz w:val="22"/>
        </w:rPr>
        <w:t xml:space="preserve">Peer commentary from MSM (July 1), GWW (May 7), and EMR (May 5) collectively paints a picture of an industrial recovery gaining traction — positive volume inflection, tariff-driven pricing pass-through, and resilient MRO demand — all of which are </w:t>
      </w:r>
      <w:r>
        <w:rPr>
          <w:rFonts w:ascii="Calibri" w:hAnsi="Calibri"/>
          <w:b/>
          <w:color w:val="30A46C"/>
          <w:sz w:val="22"/>
        </w:rPr>
        <w:t>constructive read-throughs for FAST's Q2 2026 print</w:t>
      </w:r>
      <w:r>
        <w:rPr>
          <w:rFonts w:ascii="Calibri" w:hAnsi="Calibri"/>
          <w:color w:val="525866"/>
          <w:sz w:val="22"/>
        </w:rPr>
        <w:t>. The key watch item is whether FAST's gross margin can recover as peers demonstrate price/cost neutrality or slight positivity.</w:t>
      </w:r>
    </w:p>
    <w:p>
      <w:pPr>
        <w:pStyle w:val="Heading3"/>
      </w:pPr>
      <w:r>
        <w:rPr>
          <w:rFonts w:ascii="Calibri" w:hAnsi="Calibri"/>
          <w:b/>
          <w:color w:val="3B4259"/>
          <w:sz w:val="24"/>
        </w:rPr>
        <w:t>MSC Industrial Supply (MSM) — Q3 FY2026 Earnings Call (July 1, 2026)</w:t>
      </w:r>
    </w:p>
    <w:p>
      <w:r>
        <w:rPr>
          <w:rFonts w:ascii="Calibri" w:hAnsi="Calibri"/>
          <w:b/>
          <w:color w:val="30A46C"/>
          <w:sz w:val="22"/>
        </w:rPr>
        <w:t xml:space="preserve">Read-Through Signal: </w:t>
      </w:r>
      <w:r>
        <w:rPr>
          <w:rFonts w:ascii="Calibri" w:hAnsi="Calibri"/>
          <w:color w:val="525866"/>
          <w:sz w:val="22"/>
        </w:rPr>
        <w:t xml:space="preserve"> Positive for FAST DSR growth; mixed on gross margin.</w:t>
      </w:r>
    </w:p>
    <w:p>
      <w:pPr>
        <w:pStyle w:val="ListBullet"/>
        <w:ind w:left="360" w:hanging="360"/>
      </w:pPr>
      <w:r>
        <w:rPr>
          <w:rFonts w:ascii="Calibri" w:hAnsi="Calibri"/>
          <w:b/>
          <w:color w:val="525866"/>
          <w:sz w:val="22"/>
        </w:rPr>
        <w:t xml:space="preserve">Industrial Recovery Gaining Momentum: </w:t>
      </w:r>
      <w:r>
        <w:rPr>
          <w:rFonts w:ascii="Calibri" w:hAnsi="Calibri"/>
          <w:color w:val="525866"/>
          <w:sz w:val="22"/>
        </w:rPr>
        <w:t xml:space="preserve">MSM reported five consecutive months of MBI readings above 50 and positive Industrial Production (IP) readings across most top manufacturing end markets. Average daily sales outpaced the IIP index for the fourth consecutive quarter, above MSM's 400 bps target. CEO Martina McIsaac characterized the recovery as being in the "third inning," noting that summer shutdown patterns are changing significantly — particularly in automotive, where pre-planned shutdowns are being canceled. This is a </w:t>
      </w:r>
      <w:r>
        <w:rPr>
          <w:rFonts w:ascii="Calibri" w:hAnsi="Calibri"/>
          <w:b/>
          <w:color w:val="30A46C"/>
          <w:sz w:val="22"/>
        </w:rPr>
        <w:t>constructive read-through for FAST's DSR growth</w:t>
      </w:r>
      <w:r>
        <w:rPr>
          <w:rFonts w:ascii="Calibri" w:hAnsi="Calibri"/>
          <w:color w:val="525866"/>
          <w:sz w:val="22"/>
        </w:rPr>
        <w:t xml:space="preserve"> in Q2 2026, as both companies serve overlapping manufacturing end markets.</w:t>
      </w:r>
    </w:p>
    <w:p>
      <w:pPr>
        <w:pStyle w:val="ListBullet"/>
        <w:ind w:left="360" w:hanging="360"/>
      </w:pPr>
      <w:r>
        <w:rPr>
          <w:rFonts w:ascii="Calibri" w:hAnsi="Calibri"/>
          <w:b/>
          <w:color w:val="525866"/>
          <w:sz w:val="22"/>
        </w:rPr>
        <w:t xml:space="preserve">Volume Inflection Confirmed: </w:t>
      </w:r>
      <w:r>
        <w:rPr>
          <w:rFonts w:ascii="Calibri" w:hAnsi="Calibri"/>
          <w:color w:val="525866"/>
          <w:sz w:val="22"/>
        </w:rPr>
        <w:t>MSM noted an encouraging trend of volume improvement in April that continued through June. Vending and in-plant average daily sales on a per-unit basis were up high single digits, implying real volume improvement beyond price. This aligns with FAST's April commentary that markets were "continuing to expand" and supports the case for FAST's DSR growth remaining in the double-digit range in Q2.</w:t>
      </w:r>
    </w:p>
    <w:p>
      <w:pPr>
        <w:pStyle w:val="ListBullet"/>
        <w:ind w:left="360" w:hanging="360"/>
      </w:pPr>
      <w:r>
        <w:rPr>
          <w:rFonts w:ascii="Calibri" w:hAnsi="Calibri"/>
          <w:b/>
          <w:color w:val="525866"/>
          <w:sz w:val="22"/>
        </w:rPr>
        <w:t xml:space="preserve">Pricing and Tariffs — Tungsten/Cutting Tools Inflation: </w:t>
      </w:r>
      <w:r>
        <w:rPr>
          <w:rFonts w:ascii="Calibri" w:hAnsi="Calibri"/>
          <w:color w:val="525866"/>
          <w:sz w:val="22"/>
        </w:rPr>
        <w:t xml:space="preserve">MSM flagged tungsten as the largest driver of inflation, with prices up over 500%, and planned a price action in Q4. Cutting tool volume is still growing despite significant price increases, indicating no demand destruction yet. This is a </w:t>
      </w:r>
      <w:r>
        <w:rPr>
          <w:rFonts w:ascii="Calibri" w:hAnsi="Calibri"/>
          <w:b/>
          <w:color w:val="E5484D"/>
          <w:sz w:val="22"/>
        </w:rPr>
        <w:t>direct read-through for FAST's safety and cutting tool gross margin pressure</w:t>
      </w:r>
      <w:r>
        <w:rPr>
          <w:rFonts w:ascii="Calibri" w:hAnsi="Calibri"/>
          <w:color w:val="525866"/>
          <w:sz w:val="22"/>
        </w:rPr>
        <w:t xml:space="preserve"> — the same branded product categories that caused FAST's Q1 gross margin miss. MSM's price/cost was positive by 20–30 bps in Q3, suggesting the industry is beginning to pass through costs, but FAST's ability to do the same in Q2 remains the key question.</w:t>
      </w:r>
    </w:p>
    <w:p>
      <w:pPr>
        <w:pStyle w:val="ListBullet"/>
        <w:ind w:left="360" w:hanging="360"/>
      </w:pPr>
      <w:r>
        <w:rPr>
          <w:rFonts w:ascii="Calibri" w:hAnsi="Calibri"/>
          <w:b/>
          <w:color w:val="525866"/>
          <w:sz w:val="22"/>
        </w:rPr>
        <w:t xml:space="preserve">Vending/In-Plant Footprint Expanding: </w:t>
      </w:r>
      <w:r>
        <w:rPr>
          <w:rFonts w:ascii="Calibri" w:hAnsi="Calibri"/>
          <w:color w:val="525866"/>
          <w:sz w:val="22"/>
        </w:rPr>
        <w:t>MSM's installed vending machine count grew 7% YoY to ~30,800 machines, and in-plant programs grew 7% YoY to 426 programs. While MSM's scale is smaller than FAST's FMI network (137,702 installed devices), the parallel growth in embedded supply chain solutions validates the secular trend that benefits FAST's FMI strategy.</w:t>
      </w:r>
    </w:p>
    <w:p>
      <w:pPr>
        <w:pStyle w:val="ListBullet"/>
        <w:ind w:left="360" w:hanging="360"/>
      </w:pPr>
      <w:r>
        <w:rPr>
          <w:rFonts w:ascii="Calibri" w:hAnsi="Calibri"/>
          <w:b/>
          <w:color w:val="525866"/>
          <w:sz w:val="22"/>
        </w:rPr>
        <w:t xml:space="preserve">Automotive End Market Turning Positive: </w:t>
      </w:r>
      <w:r>
        <w:rPr>
          <w:rFonts w:ascii="Calibri" w:hAnsi="Calibri"/>
          <w:color w:val="525866"/>
          <w:sz w:val="22"/>
        </w:rPr>
        <w:t>MSM noted automotive turned positive in June after being a drag earlier in the quarter. This is a modest positive read-through for FAST's manufacturing end market exposure, though FAST's customer base is more diversified across non-residential construction and other verticals.</w:t>
      </w:r>
    </w:p>
    <w:p>
      <w:pPr>
        <w:pStyle w:val="Heading3"/>
      </w:pPr>
      <w:r>
        <w:rPr>
          <w:rFonts w:ascii="Calibri" w:hAnsi="Calibri"/>
          <w:b/>
          <w:color w:val="3B4259"/>
          <w:sz w:val="24"/>
        </w:rPr>
        <w:t>W.W. Grainger (GWW) — Q1 2026 Earnings Call (May 7, 2026)</w:t>
      </w:r>
    </w:p>
    <w:p>
      <w:r>
        <w:rPr>
          <w:rFonts w:ascii="Calibri" w:hAnsi="Calibri"/>
          <w:b/>
          <w:color w:val="30A46C"/>
          <w:sz w:val="22"/>
        </w:rPr>
        <w:t xml:space="preserve">Read-Through Signal: </w:t>
      </w:r>
      <w:r>
        <w:rPr>
          <w:rFonts w:ascii="Calibri" w:hAnsi="Calibri"/>
          <w:color w:val="525866"/>
          <w:sz w:val="22"/>
        </w:rPr>
        <w:t xml:space="preserve"> Positive for FAST DSR growth and volume trends; constructive on pricing pass-through.</w:t>
      </w:r>
    </w:p>
    <w:p>
      <w:pPr>
        <w:pStyle w:val="ListBullet"/>
        <w:ind w:left="360" w:hanging="360"/>
      </w:pPr>
      <w:r>
        <w:rPr>
          <w:rFonts w:ascii="Calibri" w:hAnsi="Calibri"/>
          <w:b/>
          <w:color w:val="525866"/>
          <w:sz w:val="22"/>
        </w:rPr>
        <w:t xml:space="preserve">Broad-Based MRO Demand Acceleration: </w:t>
      </w:r>
      <w:r>
        <w:rPr>
          <w:rFonts w:ascii="Calibri" w:hAnsi="Calibri"/>
          <w:color w:val="525866"/>
          <w:sz w:val="22"/>
        </w:rPr>
        <w:t xml:space="preserve">Grainger reported total company sales up 10.1% (12.2% daily organic constant currency), with broad-based acceleration across manufacturing, government, and contractor customers. CEO D.G. Macpherson noted that end market demand "did flip" to "slightly positive" volume growth after being negative for several years. Preliminary April sales were up north of 13% on a daily organic constant currency basis. This is a </w:t>
      </w:r>
      <w:r>
        <w:rPr>
          <w:rFonts w:ascii="Calibri" w:hAnsi="Calibri"/>
          <w:b/>
          <w:color w:val="30A46C"/>
          <w:sz w:val="22"/>
        </w:rPr>
        <w:t>strong positive read-through for FAST's Q2 DSR growth</w:t>
      </w:r>
      <w:r>
        <w:rPr>
          <w:rFonts w:ascii="Calibri" w:hAnsi="Calibri"/>
          <w:color w:val="525866"/>
          <w:sz w:val="22"/>
        </w:rPr>
        <w:t>, as both companies serve overlapping MRO and manufacturing end markets.</w:t>
      </w:r>
    </w:p>
    <w:p>
      <w:pPr>
        <w:pStyle w:val="ListBullet"/>
        <w:ind w:left="360" w:hanging="360"/>
      </w:pPr>
      <w:r>
        <w:rPr>
          <w:rFonts w:ascii="Calibri" w:hAnsi="Calibri"/>
          <w:b/>
          <w:color w:val="525866"/>
          <w:sz w:val="22"/>
        </w:rPr>
        <w:t xml:space="preserve">Price/Cost Dynamics — Roughly Neutral, Better Than Expected: </w:t>
      </w:r>
      <w:r>
        <w:rPr>
          <w:rFonts w:ascii="Calibri" w:hAnsi="Calibri"/>
          <w:color w:val="525866"/>
          <w:sz w:val="22"/>
        </w:rPr>
        <w:t xml:space="preserve">Grainger's Q1 gross margin was 40.0% (+30 bps YoY), with price/cost "roughly neutral" and better than anticipated due to stronger price realization. North America price contribution was ~5% in Q1, expected to moderate to ~4% for the full year. This is a </w:t>
      </w:r>
      <w:r>
        <w:rPr>
          <w:rFonts w:ascii="Calibri" w:hAnsi="Calibri"/>
          <w:b/>
          <w:color w:val="30A46C"/>
          <w:sz w:val="22"/>
        </w:rPr>
        <w:t>cautiously positive read-through for FAST's gross margin</w:t>
      </w:r>
      <w:r>
        <w:rPr>
          <w:rFonts w:ascii="Calibri" w:hAnsi="Calibri"/>
          <w:color w:val="525866"/>
          <w:sz w:val="22"/>
        </w:rPr>
        <w:t xml:space="preserve"> — if the broader MRO distribution industry is achieving price/cost neutrality, FAST's pricing actions already in motion may be gaining traction in Q2, supporting management's H2 recovery thesis.</w:t>
      </w:r>
    </w:p>
    <w:p>
      <w:pPr>
        <w:pStyle w:val="ListBullet"/>
        <w:ind w:left="360" w:hanging="360"/>
      </w:pPr>
      <w:r>
        <w:rPr>
          <w:rFonts w:ascii="Calibri" w:hAnsi="Calibri"/>
          <w:b/>
          <w:color w:val="525866"/>
          <w:sz w:val="22"/>
        </w:rPr>
        <w:t xml:space="preserve">Tariff Complexity Remains Elevated: </w:t>
      </w:r>
      <w:r>
        <w:rPr>
          <w:rFonts w:ascii="Calibri" w:hAnsi="Calibri"/>
          <w:color w:val="525866"/>
          <w:sz w:val="22"/>
        </w:rPr>
        <w:t>Grainger implemented price increases in January 2026 for tariff inflation and annually negotiated cost increases. May pricing actions were "net neutral in total," incorporating Section 122 actions offset by IEEPA rollbacks. The company is monitoring Section 232 modifications and notes the inflationary landscape remains "highly fluid." This validates FAST's characterization of the tariff environment as complex and evolving, and suggests gross margin management will remain a key focus across the industry in Q2.</w:t>
      </w:r>
    </w:p>
    <w:p>
      <w:pPr>
        <w:pStyle w:val="ListBullet"/>
        <w:ind w:left="360" w:hanging="360"/>
      </w:pPr>
      <w:r>
        <w:rPr>
          <w:rFonts w:ascii="Calibri" w:hAnsi="Calibri"/>
          <w:b/>
          <w:color w:val="525866"/>
          <w:sz w:val="22"/>
        </w:rPr>
        <w:t xml:space="preserve">Customers Not Pre-Buying in the U.S.: </w:t>
      </w:r>
      <w:r>
        <w:rPr>
          <w:rFonts w:ascii="Calibri" w:hAnsi="Calibri"/>
          <w:color w:val="525866"/>
          <w:sz w:val="22"/>
        </w:rPr>
        <w:t>Grainger noted it has not observed customers buying extra inventory due to price or availability uncertainty in the U.S. (though some pre-buying was seen in Japan for petroleum-based products). This is relevant for FAST — it suggests demand in Q2 is organic rather than pull-forward, which is a healthier signal for the sustainability of double-digit DSR growth.</w:t>
      </w:r>
    </w:p>
    <w:p>
      <w:pPr>
        <w:pStyle w:val="ListBullet"/>
        <w:ind w:left="360" w:hanging="360"/>
      </w:pPr>
      <w:r>
        <w:rPr>
          <w:rFonts w:ascii="Calibri" w:hAnsi="Calibri"/>
          <w:b/>
          <w:color w:val="525866"/>
          <w:sz w:val="22"/>
        </w:rPr>
        <w:t xml:space="preserve">On-Site Services Demand Growing: </w:t>
      </w:r>
      <w:r>
        <w:rPr>
          <w:rFonts w:ascii="Calibri" w:hAnsi="Calibri"/>
          <w:color w:val="525866"/>
          <w:sz w:val="22"/>
        </w:rPr>
        <w:t>Grainger noted customers are increasingly demanding on-site services due to "less labor with many of our customers," leading Grainger to provide "more things on site." This directly validates FAST's FMI on-site strategy and the secular shift toward embedded supply chain solutions.</w:t>
      </w:r>
    </w:p>
    <w:p>
      <w:pPr>
        <w:pStyle w:val="Heading3"/>
      </w:pPr>
      <w:r>
        <w:rPr>
          <w:rFonts w:ascii="Calibri" w:hAnsi="Calibri"/>
          <w:b/>
          <w:color w:val="3B4259"/>
          <w:sz w:val="24"/>
        </w:rPr>
        <w:t>Emerson Electric (EMR) — Q2 FY2026 Earnings Call (May 5, 2026)</w:t>
      </w:r>
    </w:p>
    <w:p>
      <w:r>
        <w:rPr>
          <w:rFonts w:ascii="Calibri" w:hAnsi="Calibri"/>
          <w:b/>
          <w:color w:val="525866"/>
          <w:sz w:val="22"/>
        </w:rPr>
        <w:t xml:space="preserve">Read-Through Signal: </w:t>
      </w:r>
      <w:r>
        <w:rPr>
          <w:rFonts w:ascii="Calibri" w:hAnsi="Calibri"/>
          <w:color w:val="525866"/>
          <w:sz w:val="22"/>
        </w:rPr>
        <w:t xml:space="preserve"> Mixed — positive on North America MRO resilience and manufacturing end markets; neutral on tariff/pricing dynamics.</w:t>
      </w:r>
    </w:p>
    <w:p>
      <w:pPr>
        <w:pStyle w:val="ListBullet"/>
        <w:ind w:left="360" w:hanging="360"/>
      </w:pPr>
      <w:r>
        <w:rPr>
          <w:rFonts w:ascii="Calibri" w:hAnsi="Calibri"/>
          <w:b/>
          <w:color w:val="525866"/>
          <w:sz w:val="22"/>
        </w:rPr>
        <w:t xml:space="preserve">North America MRO Spend Resilient: </w:t>
      </w:r>
      <w:r>
        <w:rPr>
          <w:rFonts w:ascii="Calibri" w:hAnsi="Calibri"/>
          <w:color w:val="525866"/>
          <w:sz w:val="22"/>
        </w:rPr>
        <w:t xml:space="preserve">Emerson described North American MRO spend as "resilient," with the U.S. experiencing better-than-expected growth in H1 FY2026 (up 9% in Q2) and expected to grow high single digits for the full year. The pace of business in North America is characterized by "significant activity across growth verticals and resilient MRO spend." This is a </w:t>
      </w:r>
      <w:r>
        <w:rPr>
          <w:rFonts w:ascii="Calibri" w:hAnsi="Calibri"/>
          <w:b/>
          <w:color w:val="30A46C"/>
          <w:sz w:val="22"/>
        </w:rPr>
        <w:t>positive read-through for FAST's manufacturing and MRO end market exposure</w:t>
      </w:r>
      <w:r>
        <w:rPr>
          <w:rFonts w:ascii="Calibri" w:hAnsi="Calibri"/>
          <w:color w:val="525866"/>
          <w:sz w:val="22"/>
        </w:rPr>
        <w:t xml:space="preserve"> in Q2 2026.</w:t>
      </w:r>
    </w:p>
    <w:p>
      <w:pPr>
        <w:pStyle w:val="ListBullet"/>
        <w:ind w:left="360" w:hanging="360"/>
      </w:pPr>
      <w:r>
        <w:rPr>
          <w:rFonts w:ascii="Calibri" w:hAnsi="Calibri"/>
          <w:b/>
          <w:color w:val="525866"/>
          <w:sz w:val="22"/>
        </w:rPr>
        <w:t xml:space="preserve">Underlying Orders Growth Solid: </w:t>
      </w:r>
      <w:r>
        <w:rPr>
          <w:rFonts w:ascii="Calibri" w:hAnsi="Calibri"/>
          <w:color w:val="525866"/>
          <w:sz w:val="22"/>
        </w:rPr>
        <w:t>Emerson reported underlying orders growing 5% in Q2, consistent with expectations, with backlog up 9% YoY. Orders momentum is expected to set up the company for H1 2027, with mid-single-digit orders deemed sustainable for the remainder of 2026. While Emerson is a process automation company rather than a direct MRO distributor, its order trends serve as a leading indicator for industrial capex and MRO activity that benefits FAST.</w:t>
      </w:r>
    </w:p>
    <w:p>
      <w:pPr>
        <w:pStyle w:val="ListBullet"/>
        <w:ind w:left="360" w:hanging="360"/>
      </w:pPr>
      <w:r>
        <w:rPr>
          <w:rFonts w:ascii="Calibri" w:hAnsi="Calibri"/>
          <w:b/>
          <w:color w:val="525866"/>
          <w:sz w:val="22"/>
        </w:rPr>
        <w:t xml:space="preserve">Tariff Impact Net Neutral for Emerson: </w:t>
      </w:r>
      <w:r>
        <w:rPr>
          <w:rFonts w:ascii="Calibri" w:hAnsi="Calibri"/>
          <w:color w:val="525866"/>
          <w:sz w:val="22"/>
        </w:rPr>
        <w:t>Emerson anticipates a net neutral impact from the removal of IEEPA tariffs, as any benefit is expected to be offset by increases in Section 122 and 232 tariffs and higher freight costs. Pricing contributed 3.5 points to growth, described as "very, very disciplined." This is consistent with the broader industry picture of tariff complexity but manageable pass-through — a neutral read-through for FAST's pricing dynamics.</w:t>
      </w:r>
    </w:p>
    <w:p>
      <w:pPr>
        <w:pStyle w:val="ListBullet"/>
        <w:ind w:left="360" w:hanging="360"/>
      </w:pPr>
      <w:r>
        <w:rPr>
          <w:rFonts w:ascii="Calibri" w:hAnsi="Calibri"/>
          <w:b/>
          <w:color w:val="525866"/>
          <w:sz w:val="22"/>
        </w:rPr>
        <w:t xml:space="preserve">Power and Growth Verticals Driving Capex: </w:t>
      </w:r>
      <w:r>
        <w:rPr>
          <w:rFonts w:ascii="Calibri" w:hAnsi="Calibri"/>
          <w:color w:val="525866"/>
          <w:sz w:val="22"/>
        </w:rPr>
        <w:t>Emerson's project funnel grew to $11.2B, primarily from power, life sciences, and LNG. Power was up 23%, driven by plant modernizations and behind-the-meter generation for data centers. While this is more relevant to Emerson's process automation business, the broader capex cycle in power and manufacturing is a positive backdrop for FAST's non-residential construction and manufacturing end markets.</w:t>
      </w:r>
    </w:p>
    <w:p>
      <w:pPr>
        <w:pStyle w:val="ListBullet"/>
        <w:ind w:left="360" w:hanging="360"/>
      </w:pPr>
      <w:r>
        <w:rPr>
          <w:rFonts w:ascii="Calibri" w:hAnsi="Calibri"/>
          <w:b/>
          <w:color w:val="525866"/>
          <w:sz w:val="22"/>
        </w:rPr>
        <w:t xml:space="preserve">Europe Remains Soft; China Weak: </w:t>
      </w:r>
      <w:r>
        <w:rPr>
          <w:rFonts w:ascii="Calibri" w:hAnsi="Calibri"/>
          <w:color w:val="525866"/>
          <w:sz w:val="22"/>
        </w:rPr>
        <w:t>Emerson noted Europe declined 4% in Q2 and China is expected to decline mid-single digits for the year due to overcapacity in chemicals. This is a modest negative read-through for FAST's international business (primarily Europe and Asia), which accelerated meaningfully in March 2026 — the sustainability of that international acceleration may face headwinds from the broader European and Chinese industrial weakness.</w:t>
      </w:r>
    </w:p>
    <w:p>
      <w:pPr>
        <w:pStyle w:val="Heading3"/>
      </w:pPr>
      <w:r>
        <w:rPr>
          <w:rFonts w:ascii="Calibri" w:hAnsi="Calibri"/>
          <w:b/>
          <w:color w:val="3B4259"/>
          <w:sz w:val="24"/>
        </w:rPr>
        <w:t>Peer Commentary Summary Table</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Peer</w:t>
            </w:r>
          </w:p>
        </w:tc>
        <w:tc>
          <w:tcPr>
            <w:tcW w:type="dxa" w:w="1728"/>
            <w:shd w:val="clear" w:color="auto" w:fill="3B4259"/>
          </w:tcPr>
          <w:p>
            <w:r>
              <w:rPr>
                <w:rFonts w:ascii="Calibri" w:hAnsi="Calibri"/>
                <w:b/>
                <w:color w:val="FFFFFF"/>
                <w:sz w:val="22"/>
              </w:rPr>
              <w:t>Report Date</w:t>
            </w:r>
          </w:p>
        </w:tc>
        <w:tc>
          <w:tcPr>
            <w:tcW w:type="dxa" w:w="1728"/>
            <w:shd w:val="clear" w:color="auto" w:fill="3B4259"/>
          </w:tcPr>
          <w:p>
            <w:r>
              <w:rPr>
                <w:rFonts w:ascii="Calibri" w:hAnsi="Calibri"/>
                <w:b/>
                <w:color w:val="FFFFFF"/>
                <w:sz w:val="22"/>
              </w:rPr>
              <w:t>Key Theme</w:t>
            </w:r>
          </w:p>
        </w:tc>
        <w:tc>
          <w:tcPr>
            <w:tcW w:type="dxa" w:w="1728"/>
            <w:shd w:val="clear" w:color="auto" w:fill="3B4259"/>
          </w:tcPr>
          <w:p>
            <w:r>
              <w:rPr>
                <w:rFonts w:ascii="Calibri" w:hAnsi="Calibri"/>
                <w:b/>
                <w:color w:val="FFFFFF"/>
                <w:sz w:val="22"/>
              </w:rPr>
              <w:t>FAST DSR Read-Through</w:t>
            </w:r>
          </w:p>
        </w:tc>
        <w:tc>
          <w:tcPr>
            <w:tcW w:type="dxa" w:w="1728"/>
            <w:shd w:val="clear" w:color="auto" w:fill="3B4259"/>
          </w:tcPr>
          <w:p>
            <w:r>
              <w:rPr>
                <w:rFonts w:ascii="Calibri" w:hAnsi="Calibri"/>
                <w:b/>
                <w:color w:val="FFFFFF"/>
                <w:sz w:val="22"/>
              </w:rPr>
              <w:t>FAST Gross Margin Read-Through</w:t>
            </w:r>
          </w:p>
        </w:tc>
      </w:tr>
      <w:tr>
        <w:tc>
          <w:tcPr>
            <w:tcW w:type="dxa" w:w="1728"/>
          </w:tcPr>
          <w:p>
            <w:r>
              <w:rPr>
                <w:rFonts w:ascii="Calibri" w:hAnsi="Calibri"/>
                <w:sz w:val="22"/>
              </w:rPr>
              <w:t>MSM (MSC Industrial)</w:t>
            </w:r>
          </w:p>
        </w:tc>
        <w:tc>
          <w:tcPr>
            <w:tcW w:type="dxa" w:w="1728"/>
          </w:tcPr>
          <w:p>
            <w:r>
              <w:rPr>
                <w:rFonts w:ascii="Calibri" w:hAnsi="Calibri"/>
                <w:sz w:val="22"/>
              </w:rPr>
              <w:t>July 1, 2026</w:t>
            </w:r>
          </w:p>
        </w:tc>
        <w:tc>
          <w:tcPr>
            <w:tcW w:type="dxa" w:w="1728"/>
          </w:tcPr>
          <w:p>
            <w:r>
              <w:rPr>
                <w:rFonts w:ascii="Calibri" w:hAnsi="Calibri"/>
                <w:sz w:val="22"/>
              </w:rPr>
              <w:t>Industrial recovery in "3rd inning"; volume inflection confirmed; tungsten/cutting tool inflation ongoing</w:t>
            </w:r>
          </w:p>
        </w:tc>
        <w:tc>
          <w:tcPr>
            <w:tcW w:type="dxa" w:w="1728"/>
          </w:tcPr>
          <w:p>
            <w:r>
              <w:rPr>
                <w:rFonts w:ascii="Calibri" w:hAnsi="Calibri"/>
                <w:b/>
                <w:color w:val="30A46C"/>
                <w:sz w:val="22"/>
              </w:rPr>
              <w:t>Positive ↑</w:t>
            </w:r>
          </w:p>
        </w:tc>
        <w:tc>
          <w:tcPr>
            <w:tcW w:type="dxa" w:w="1728"/>
          </w:tcPr>
          <w:p>
            <w:r>
              <w:rPr>
                <w:rFonts w:ascii="Calibri" w:hAnsi="Calibri"/>
                <w:sz w:val="22"/>
              </w:rPr>
              <w:t>Mixed — price/cost positive by 20–30 bps but cutting tool inflation ongoing</w:t>
            </w:r>
          </w:p>
        </w:tc>
      </w:tr>
      <w:tr>
        <w:tc>
          <w:tcPr>
            <w:tcW w:type="dxa" w:w="1728"/>
          </w:tcPr>
          <w:p>
            <w:r>
              <w:rPr>
                <w:rFonts w:ascii="Calibri" w:hAnsi="Calibri"/>
                <w:sz w:val="22"/>
              </w:rPr>
              <w:t>GWW (W.W. Grainger)</w:t>
            </w:r>
          </w:p>
        </w:tc>
        <w:tc>
          <w:tcPr>
            <w:tcW w:type="dxa" w:w="1728"/>
          </w:tcPr>
          <w:p>
            <w:r>
              <w:rPr>
                <w:rFonts w:ascii="Calibri" w:hAnsi="Calibri"/>
                <w:sz w:val="22"/>
              </w:rPr>
              <w:t>May 7, 2026</w:t>
            </w:r>
          </w:p>
        </w:tc>
        <w:tc>
          <w:tcPr>
            <w:tcW w:type="dxa" w:w="1728"/>
          </w:tcPr>
          <w:p>
            <w:r>
              <w:rPr>
                <w:rFonts w:ascii="Calibri" w:hAnsi="Calibri"/>
                <w:sz w:val="22"/>
              </w:rPr>
              <w:t>Broad-based MRO acceleration; volume turned positive; price/cost roughly neutral; April up 13%+</w:t>
            </w:r>
          </w:p>
        </w:tc>
        <w:tc>
          <w:tcPr>
            <w:tcW w:type="dxa" w:w="1728"/>
          </w:tcPr>
          <w:p>
            <w:r>
              <w:rPr>
                <w:rFonts w:ascii="Calibri" w:hAnsi="Calibri"/>
                <w:b/>
                <w:color w:val="30A46C"/>
                <w:sz w:val="22"/>
              </w:rPr>
              <w:t>Positive ↑</w:t>
            </w:r>
          </w:p>
        </w:tc>
        <w:tc>
          <w:tcPr>
            <w:tcW w:type="dxa" w:w="1728"/>
          </w:tcPr>
          <w:p>
            <w:r>
              <w:rPr>
                <w:rFonts w:ascii="Calibri" w:hAnsi="Calibri"/>
                <w:sz w:val="22"/>
              </w:rPr>
              <w:t>Constructive — price/cost neutral, better than expected; pricing pass-through gaining traction</w:t>
            </w:r>
          </w:p>
        </w:tc>
      </w:tr>
      <w:tr>
        <w:tc>
          <w:tcPr>
            <w:tcW w:type="dxa" w:w="1728"/>
          </w:tcPr>
          <w:p>
            <w:r>
              <w:rPr>
                <w:rFonts w:ascii="Calibri" w:hAnsi="Calibri"/>
                <w:sz w:val="22"/>
              </w:rPr>
              <w:t>EMR (Emerson Electric)</w:t>
            </w:r>
          </w:p>
        </w:tc>
        <w:tc>
          <w:tcPr>
            <w:tcW w:type="dxa" w:w="1728"/>
          </w:tcPr>
          <w:p>
            <w:r>
              <w:rPr>
                <w:rFonts w:ascii="Calibri" w:hAnsi="Calibri"/>
                <w:sz w:val="22"/>
              </w:rPr>
              <w:t>May 5, 2026</w:t>
            </w:r>
          </w:p>
        </w:tc>
        <w:tc>
          <w:tcPr>
            <w:tcW w:type="dxa" w:w="1728"/>
          </w:tcPr>
          <w:p>
            <w:r>
              <w:rPr>
                <w:rFonts w:ascii="Calibri" w:hAnsi="Calibri"/>
                <w:sz w:val="22"/>
              </w:rPr>
              <w:t>N. America MRO resilient; orders +5%; Europe/China soft; tariff impact net neutral</w:t>
            </w:r>
          </w:p>
        </w:tc>
        <w:tc>
          <w:tcPr>
            <w:tcW w:type="dxa" w:w="1728"/>
          </w:tcPr>
          <w:p>
            <w:r>
              <w:rPr>
                <w:rFonts w:ascii="Calibri" w:hAnsi="Calibri"/>
                <w:b/>
                <w:color w:val="30A46C"/>
                <w:sz w:val="22"/>
              </w:rPr>
              <w:t>Positive (N. America) ↑</w:t>
            </w:r>
          </w:p>
        </w:tc>
        <w:tc>
          <w:tcPr>
            <w:tcW w:type="dxa" w:w="1728"/>
          </w:tcPr>
          <w:p>
            <w:r>
              <w:rPr>
                <w:rFonts w:ascii="Calibri" w:hAnsi="Calibri"/>
                <w:sz w:val="22"/>
              </w:rPr>
              <w:t>Neutral — tariff pass-through disciplined but complex; Europe/China softness a watch item for FAST international</w:t>
            </w:r>
          </w:p>
        </w:tc>
      </w:tr>
    </w:tbl>
    <w:p>
      <w:r>
        <w:br w:type="page"/>
      </w:r>
    </w:p>
    <w:p>
      <w:pPr>
        <w:pStyle w:val="Heading2"/>
      </w:pPr>
      <w:r>
        <w:rPr>
          <w:rFonts w:ascii="Calibri" w:hAnsi="Calibri"/>
          <w:b/>
          <w:color w:val="3B4259"/>
          <w:sz w:val="28"/>
        </w:rPr>
        <w:t>9. Risks &amp; Considerations</w:t>
      </w:r>
    </w:p>
    <w:p>
      <w:r>
        <w:rPr>
          <w:rFonts w:ascii="Calibri" w:hAnsi="Calibri"/>
          <w:b/>
          <w:color w:val="525866"/>
          <w:sz w:val="22"/>
        </w:rPr>
        <w:t xml:space="preserve">Key Takeaway: </w:t>
      </w:r>
      <w:r>
        <w:rPr>
          <w:rFonts w:ascii="Calibri" w:hAnsi="Calibri"/>
          <w:color w:val="525866"/>
          <w:sz w:val="22"/>
        </w:rPr>
        <w:t>The bull case rests on pricing catching up to costs in Q2 and management's H2 recovery thesis playing out; the bear case is another gross margin miss that tests the stock's premium multiple.</w:t>
      </w:r>
    </w:p>
    <w:p>
      <w:pPr>
        <w:pStyle w:val="Heading3"/>
      </w:pPr>
      <w:r>
        <w:rPr>
          <w:rFonts w:ascii="Calibri" w:hAnsi="Calibri"/>
          <w:b/>
          <w:color w:val="3B4259"/>
          <w:sz w:val="24"/>
        </w:rPr>
        <w:t>Upside Risks</w:t>
      </w:r>
    </w:p>
    <w:p>
      <w:pPr>
        <w:pStyle w:val="ListBullet"/>
        <w:ind w:left="360" w:hanging="360"/>
      </w:pPr>
      <w:r>
        <w:rPr>
          <w:rFonts w:ascii="Calibri" w:hAnsi="Calibri"/>
          <w:b/>
          <w:color w:val="525866"/>
          <w:sz w:val="22"/>
        </w:rPr>
        <w:t xml:space="preserve">Gross Margin Recovery Ahead of Schedule: </w:t>
      </w:r>
      <w:r>
        <w:rPr>
          <w:rFonts w:ascii="Calibri" w:hAnsi="Calibri"/>
          <w:color w:val="525866"/>
          <w:sz w:val="22"/>
        </w:rPr>
        <w:t>If pricing actions already in motion (implemented in Q1 and early Q2) have gained traction faster than management guided, Q2 gross margin could surprise to the upside. Peer data from GWW (price/cost roughly neutral, better than expected) suggests the industry is making progress on pass-through.</w:t>
      </w:r>
    </w:p>
    <w:p>
      <w:pPr>
        <w:pStyle w:val="ListBullet"/>
        <w:ind w:left="360" w:hanging="360"/>
      </w:pPr>
      <w:r>
        <w:rPr>
          <w:rFonts w:ascii="Calibri" w:hAnsi="Calibri"/>
          <w:b/>
          <w:color w:val="525866"/>
          <w:sz w:val="22"/>
        </w:rPr>
        <w:t xml:space="preserve">DSR Growth Acceleration: </w:t>
      </w:r>
      <w:r>
        <w:rPr>
          <w:rFonts w:ascii="Calibri" w:hAnsi="Calibri"/>
          <w:color w:val="525866"/>
          <w:sz w:val="22"/>
        </w:rPr>
        <w:t>Management's April commentary was explicitly positive, and MSM's July 1 data confirmed volume inflection through June. If FAST's Q2 DSR growth comes in above the ~12.5% consensus, it would validate the double-digit growth thesis and provide a positive catalyst.</w:t>
      </w:r>
    </w:p>
    <w:p>
      <w:pPr>
        <w:pStyle w:val="ListBullet"/>
        <w:ind w:left="360" w:hanging="360"/>
      </w:pPr>
      <w:r>
        <w:rPr>
          <w:rFonts w:ascii="Calibri" w:hAnsi="Calibri"/>
          <w:b/>
          <w:color w:val="525866"/>
          <w:sz w:val="22"/>
        </w:rPr>
        <w:t xml:space="preserve">FMI Milestone: </w:t>
      </w:r>
      <w:r>
        <w:rPr>
          <w:rFonts w:ascii="Calibri" w:hAnsi="Calibri"/>
          <w:color w:val="525866"/>
          <w:sz w:val="22"/>
        </w:rPr>
        <w:t>FMI sales crossed $1B for the first time in Q1 2026. Any commentary on accelerating FMI signings, new large account wins, or digital penetration milestones could be a positive catalyst for the stock's premium multiple.</w:t>
      </w:r>
    </w:p>
    <w:p>
      <w:pPr>
        <w:pStyle w:val="ListBullet"/>
        <w:ind w:left="360" w:hanging="360"/>
      </w:pPr>
      <w:r>
        <w:rPr>
          <w:rFonts w:ascii="Calibri" w:hAnsi="Calibri"/>
          <w:b/>
          <w:color w:val="525866"/>
          <w:sz w:val="22"/>
        </w:rPr>
        <w:t xml:space="preserve">Non-Residential Construction Strength: </w:t>
      </w:r>
      <w:r>
        <w:rPr>
          <w:rFonts w:ascii="Calibri" w:hAnsi="Calibri"/>
          <w:color w:val="525866"/>
          <w:sz w:val="22"/>
        </w:rPr>
        <w:t>Non-residential construction returned to strong growth in Q1 2026 after being negative in 2023–2024. Continued strength in this end market would broaden FAST's growth base beyond manufacturing.</w:t>
      </w:r>
    </w:p>
    <w:p>
      <w:pPr>
        <w:pStyle w:val="Heading3"/>
      </w:pPr>
      <w:r>
        <w:rPr>
          <w:rFonts w:ascii="Calibri" w:hAnsi="Calibri"/>
          <w:b/>
          <w:color w:val="3B4259"/>
          <w:sz w:val="24"/>
        </w:rPr>
        <w:t>Downside Risks</w:t>
      </w:r>
    </w:p>
    <w:p>
      <w:pPr>
        <w:pStyle w:val="ListBullet"/>
        <w:ind w:left="360" w:hanging="360"/>
      </w:pPr>
      <w:r>
        <w:rPr>
          <w:rFonts w:ascii="Calibri" w:hAnsi="Calibri"/>
          <w:b/>
          <w:color w:val="525866"/>
          <w:sz w:val="22"/>
        </w:rPr>
        <w:t xml:space="preserve">Gross Margin Miss (Again): </w:t>
      </w:r>
      <w:r>
        <w:rPr>
          <w:rFonts w:ascii="Calibri" w:hAnsi="Calibri"/>
          <w:color w:val="525866"/>
          <w:sz w:val="22"/>
        </w:rPr>
        <w:t>The fastener expansion project anniversaries early in Q2, removing a partial tailwind. If tariff-driven cost inflation in branded product categories (safety, cutting tools) continues to outpace pricing realization, Q2 gross margin could miss consensus (~44.6%) for the third consecutive quarter. Given the stock's premium multiple, this is the highest-impact downside risk.</w:t>
      </w:r>
    </w:p>
    <w:p>
      <w:pPr>
        <w:pStyle w:val="ListBullet"/>
        <w:ind w:left="360" w:hanging="360"/>
      </w:pPr>
      <w:r>
        <w:rPr>
          <w:rFonts w:ascii="Calibri" w:hAnsi="Calibri"/>
          <w:b/>
          <w:color w:val="525866"/>
          <w:sz w:val="22"/>
        </w:rPr>
        <w:t xml:space="preserve">Tariff Escalation / Policy Uncertainty: </w:t>
      </w:r>
      <w:r>
        <w:rPr>
          <w:rFonts w:ascii="Calibri" w:hAnsi="Calibri"/>
          <w:color w:val="525866"/>
          <w:sz w:val="22"/>
        </w:rPr>
        <w:t>The tariff environment remains "highly fluid" (per GWW). Any new tariff actions on branded products or raw materials (tungsten, steel) could accelerate cost inflation beyond what pricing can absorb in Q2, extending the price/cost headwind into H2 and undermining management's recovery thesis.</w:t>
      </w:r>
    </w:p>
    <w:p>
      <w:pPr>
        <w:pStyle w:val="ListBullet"/>
        <w:ind w:left="360" w:hanging="360"/>
      </w:pPr>
      <w:r>
        <w:rPr>
          <w:rFonts w:ascii="Calibri" w:hAnsi="Calibri"/>
          <w:b/>
          <w:color w:val="525866"/>
          <w:sz w:val="22"/>
        </w:rPr>
        <w:t xml:space="preserve">Macro Slowdown / Customer Caution: </w:t>
      </w:r>
      <w:r>
        <w:rPr>
          <w:rFonts w:ascii="Calibri" w:hAnsi="Calibri"/>
          <w:color w:val="525866"/>
          <w:sz w:val="22"/>
        </w:rPr>
        <w:t>While peer data is constructive, management's own tone was "cautiously optimistic" rather than confident. Any deterioration in manufacturing PMI, industrial production, or customer capex budgets in Q2 could slow DSR growth below the double-digit threshold, which would be a significant negative given the stock's growth premium.</w:t>
      </w:r>
    </w:p>
    <w:p>
      <w:pPr>
        <w:pStyle w:val="ListBullet"/>
        <w:ind w:left="360" w:hanging="360"/>
      </w:pPr>
      <w:r>
        <w:rPr>
          <w:rFonts w:ascii="Calibri" w:hAnsi="Calibri"/>
          <w:b/>
          <w:color w:val="525866"/>
          <w:sz w:val="22"/>
        </w:rPr>
        <w:t xml:space="preserve">Premium Multiple Compression: </w:t>
      </w:r>
      <w:r>
        <w:rPr>
          <w:rFonts w:ascii="Calibri" w:hAnsi="Calibri"/>
          <w:color w:val="525866"/>
          <w:sz w:val="22"/>
        </w:rPr>
        <w:t>FAST trades at ~38–40x forward P/E vs. the industrial distribution peer average of ~21x. Any combination of gross margin disappointment and macro uncertainty could trigger multiple compression, amplifying the stock's downside relative to peers.</w:t>
      </w:r>
    </w:p>
    <w:p>
      <w:pPr>
        <w:pStyle w:val="ListBullet"/>
        <w:ind w:left="360" w:hanging="360"/>
      </w:pPr>
      <w:r>
        <w:rPr>
          <w:rFonts w:ascii="Calibri" w:hAnsi="Calibri"/>
          <w:b/>
          <w:color w:val="525866"/>
          <w:sz w:val="22"/>
        </w:rPr>
        <w:t xml:space="preserve">International Softness: </w:t>
      </w:r>
      <w:r>
        <w:rPr>
          <w:rFonts w:ascii="Calibri" w:hAnsi="Calibri"/>
          <w:color w:val="525866"/>
          <w:sz w:val="22"/>
        </w:rPr>
        <w:t>Emerson flagged Europe declining 4% and China weak. FAST's international business (primarily Europe and Asia) accelerated meaningfully in March 2026, but the sustainability of that acceleration faces headwinds from the broader European and Chinese industrial weakness.</w:t>
      </w:r>
    </w:p>
    <w:sectPr w:rsidR="00FC693F" w:rsidRPr="0006063C" w:rsidSect="00034616">
      <w:headerReference w:type="default" r:id="rId10"/>
      <w:footerReference w:type="default" r:id="rId1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