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FITB before writing the preview. Let me start by gathering recent earnings materials, guidance, and news in parallel.Let me get recent stock performance and check for consensus estimates and any late-breaking news.I now have what I need. Here's the earnings preview.</w:t>
      </w:r>
    </w:p>
    <w:bookmarkStart w:id="15" w:name="X67ab2442af0d8f5a983e65046afd09e66113446"/>
    <w:p>
      <w:pPr>
        <w:pStyle w:val="Heading1"/>
      </w:pPr>
      <w:r>
        <w:t xml:space="preserve">Fifth Third Bancorp (FITB) — Q2 2026 Earnings Preview</w:t>
      </w:r>
    </w:p>
    <w:bookmarkStart w:id="9" w:name="X525981e72e68b5d33aec040a582ffb73785bb91"/>
    <w:p>
      <w:pPr>
        <w:pStyle w:val="Heading3"/>
      </w:pPr>
      <w:r>
        <w:t xml:space="preserve">Reporting before market open, Friday, July 17, 2026 | Call 9:00 a.m. ET</w:t>
      </w:r>
    </w:p>
    <w:bookmarkEnd w:id="9"/>
    <w:bookmarkStart w:id="10" w:name="Xced25522f85ce0a6c0d557b20e1f3318f2423e1"/>
    <w:p>
      <w:pPr>
        <w:pStyle w:val="Heading2"/>
      </w:pPr>
      <w:r>
        <w:t xml:space="preserve">The one thing that matters: Comerica integration proof points</w:t>
      </w:r>
    </w:p>
    <w:p>
      <w:pPr>
        <w:pStyle w:val="FirstParagraph"/>
      </w:pPr>
      <w:r>
        <w:t xml:space="preserve">This is the first</w:t>
      </w:r>
      <w:r>
        <w:t xml:space="preserve"> </w:t>
      </w:r>
      <w:r>
        <w:rPr>
          <w:i/>
          <w:iCs/>
        </w:rPr>
        <w:t xml:space="preserve">full</w:t>
      </w:r>
      <w:r>
        <w:t xml:space="preserve"> </w:t>
      </w:r>
      <w:r>
        <w:t xml:space="preserve">quarter with Comerica on the books (the ~$12.7B all-stock deal closed February 1, so Q1 captured only two months). The entire investment thesis right now hinges on flawless integration execution, so the report is less about the headline EPS beat/miss and more about whether management reaffirms — or de-risks — the following milestones laid out on the Q1 call:</w:t>
      </w:r>
    </w:p>
    <w:p>
      <w:pPr>
        <w:pStyle w:val="Compact"/>
        <w:numPr>
          <w:ilvl w:val="0"/>
          <w:numId w:val="1001"/>
        </w:numPr>
      </w:pPr>
      <w:r>
        <w:rPr>
          <w:b/>
          <w:bCs/>
        </w:rPr>
        <w:t xml:space="preserve">Systems conversion over Labor Day weekend</w:t>
      </w:r>
      <w:r>
        <w:t xml:space="preserve"> </w:t>
      </w:r>
      <w:r>
        <w:t xml:space="preserve">(early September). Management flagged this as "the single largest point of risk" in the deal. Watch for confirmation that the mock conversions went cleanly.</w:t>
      </w:r>
    </w:p>
    <w:p>
      <w:pPr>
        <w:pStyle w:val="Compact"/>
        <w:numPr>
          <w:ilvl w:val="0"/>
          <w:numId w:val="1001"/>
        </w:numPr>
      </w:pPr>
      <m:oMath>
        <m:r>
          <m:t>360</m:t>
        </m:r>
        <m:r>
          <m:t>M</m:t>
        </m:r>
        <m:r>
          <m:t>o</m:t>
        </m:r>
        <m:r>
          <m:t>f</m:t>
        </m:r>
        <m:r>
          <m:t>n</m:t>
        </m:r>
        <m:r>
          <m:t>e</m:t>
        </m:r>
        <m:r>
          <m:t>t</m:t>
        </m:r>
        <m:r>
          <m:t>c</m:t>
        </m:r>
        <m:r>
          <m:t>o</m:t>
        </m:r>
        <m:r>
          <m:t>s</m:t>
        </m:r>
        <m:r>
          <m:t>t</m:t>
        </m:r>
        <m:r>
          <m:t>s</m:t>
        </m:r>
        <m:r>
          <m:t>a</m:t>
        </m:r>
        <m:r>
          <m:t>v</m:t>
        </m:r>
        <m:r>
          <m:t>i</m:t>
        </m:r>
        <m:r>
          <m:t>n</m:t>
        </m:r>
        <m:r>
          <m:t>g</m:t>
        </m:r>
        <m:r>
          <m:t>s</m:t>
        </m:r>
        <m:r>
          <m:t>i</m:t>
        </m:r>
        <m:r>
          <m:t>n</m:t>
        </m:r>
        <m:r>
          <m:t>2026</m:t>
        </m:r>
        <m:r>
          <m:rPr>
            <m:sty m:val="p"/>
          </m:rPr>
          <m:t>*</m:t>
        </m:r>
        <m:r>
          <m:rPr>
            <m:sty m:val="p"/>
          </m:rPr>
          <m:t>*</m:t>
        </m:r>
        <m:r>
          <m:rPr>
            <m:sty m:val="p"/>
          </m:rPr>
          <m:t>,</m:t>
        </m:r>
        <m:r>
          <m:t>b</m:t>
        </m:r>
        <m:r>
          <m:t>u</m:t>
        </m:r>
        <m:r>
          <m:t>i</m:t>
        </m:r>
        <m:r>
          <m:t>l</m:t>
        </m:r>
        <m:r>
          <m:t>d</m:t>
        </m:r>
        <m:r>
          <m:t>i</m:t>
        </m:r>
        <m:r>
          <m:t>n</m:t>
        </m:r>
        <m:r>
          <m:t>g</m:t>
        </m:r>
        <m:r>
          <m:t>t</m:t>
        </m:r>
        <m:r>
          <m:t>o</m:t>
        </m:r>
        <m:r>
          <m:t>w</m:t>
        </m:r>
        <m:r>
          <m:t>a</m:t>
        </m:r>
        <m:r>
          <m:t>r</m:t>
        </m:r>
        <m:r>
          <m:t>d</m:t>
        </m:r>
        <m:r>
          <m:t>a</m:t>
        </m:r>
        <m:r>
          <m:t>n</m:t>
        </m:r>
        <m:r>
          <m:rPr>
            <m:sty m:val="p"/>
          </m:rPr>
          <m:t>*</m:t>
        </m:r>
        <m:r>
          <m:rPr>
            <m:sty m:val="p"/>
          </m:rPr>
          <m:t>*</m:t>
        </m:r>
      </m:oMath>
      <w:r>
        <w:rPr>
          <w:b/>
          <w:bCs/>
        </w:rPr>
        <w:t xml:space="preserve">850M annual run-rate by Q4 2026</w:t>
      </w:r>
      <w:r>
        <w:t xml:space="preserve">. The expense benefit is back-half weighted, so Q2 won't show much — the key is reaffirmation, not realization.</w:t>
      </w:r>
    </w:p>
    <w:p>
      <w:pPr>
        <w:pStyle w:val="Compact"/>
        <w:numPr>
          <w:ilvl w:val="0"/>
          <w:numId w:val="1001"/>
        </w:numPr>
      </w:pPr>
      <w:r>
        <w:rPr>
          <w:b/>
          <w:bCs/>
        </w:rPr>
        <w:t xml:space="preserve">Revenue synergies</w:t>
      </w:r>
      <w:r>
        <w:t xml:space="preserve"> </w:t>
      </w:r>
      <w:r>
        <w:t xml:space="preserve">(excluded from the original deal math, so pure upside): early wins in capital markets, commercial payments managed services (65 of 100 Comerica clients interested), asset-based lending, and National Dealer Services.</w:t>
      </w:r>
    </w:p>
    <w:p>
      <w:pPr>
        <w:pStyle w:val="Compact"/>
        <w:numPr>
          <w:ilvl w:val="0"/>
          <w:numId w:val="1001"/>
        </w:numPr>
      </w:pPr>
      <w:r>
        <w:rPr>
          <w:b/>
          <w:bCs/>
        </w:rPr>
        <w:t xml:space="preserve">Texas/Southwest organic expansion</w:t>
      </w:r>
      <w:r>
        <w:t xml:space="preserve">: 81 of 150 targeted de novo Texas branch LOIs signed; first Fifth Third-branded branches opening in Dallas/Fresno. Management said a 6-million-household direct-mail campaign is running at ~3x its legacy response rate and should generate ~$1B in deposits (already in guidance).</w:t>
      </w:r>
    </w:p>
    <w:bookmarkEnd w:id="10"/>
    <w:bookmarkStart w:id="11" w:name="street-expectations"/>
    <w:p>
      <w:pPr>
        <w:pStyle w:val="Heading2"/>
      </w:pPr>
      <w:r>
        <w:t xml:space="preserve">Street expectations</w:t>
      </w:r>
    </w:p>
    <w:p>
      <w:pPr>
        <w:pStyle w:val="Compact"/>
        <w:numPr>
          <w:ilvl w:val="0"/>
          <w:numId w:val="1002"/>
        </w:numPr>
      </w:pPr>
      <w:r>
        <w:t xml:space="preserve">Consensus is roughly</w:t>
      </w:r>
      <w:r>
        <w:t xml:space="preserve"> </w:t>
      </w:r>
      <m:oMath>
        <m:r>
          <m:t>0.84</m:t>
        </m:r>
        <m:r>
          <m:t>E</m:t>
        </m:r>
        <m:r>
          <m:t>P</m:t>
        </m:r>
        <m:r>
          <m:t>S</m:t>
        </m:r>
        <m:r>
          <m:t>o</m:t>
        </m:r>
        <m:r>
          <m:t>n</m:t>
        </m:r>
        <m:r>
          <m:t> </m:t>
        </m:r>
      </m:oMath>
      <w:r>
        <w:rPr>
          <w:b/>
          <w:bCs/>
        </w:rPr>
        <w:t xml:space="preserve">3.25B revenue</w:t>
      </w:r>
      <w:r>
        <w:t xml:space="preserve"> </w:t>
      </w:r>
      <w:r>
        <w:t xml:space="preserve">(~45% YoY revenue growth, driven mechanically by the Comerica addition). Several analysts (incl. Wells Fargo, UBS) raised price targets into the print.</w:t>
      </w:r>
    </w:p>
    <w:p>
      <w:pPr>
        <w:pStyle w:val="Compact"/>
        <w:numPr>
          <w:ilvl w:val="0"/>
          <w:numId w:val="1002"/>
        </w:numPr>
      </w:pPr>
      <w:r>
        <w:t xml:space="preserve">For reference, Q1 2026 adjusted EPS was</w:t>
      </w:r>
      <w:r>
        <w:t xml:space="preserve"> </w:t>
      </w:r>
      <w:r>
        <w:rPr>
          <w:b/>
          <w:bCs/>
        </w:rPr>
        <w:t xml:space="preserve">$0.83</w:t>
      </w:r>
      <w:r>
        <w:t xml:space="preserve"> </w:t>
      </w:r>
      <w:r>
        <w:t xml:space="preserve">(GAAP $0.15, weighed down by</w:t>
      </w:r>
      <w:r>
        <w:t xml:space="preserve"> </w:t>
      </w:r>
      <m:oMath>
        <m:r>
          <m:t>635</m:t>
        </m:r>
        <m:r>
          <m:t>M</m:t>
        </m:r>
        <m:r>
          <m:t>p</m:t>
        </m:r>
        <m:r>
          <m:t>r</m:t>
        </m:r>
        <m:r>
          <m:t>e</m:t>
        </m:r>
        <m:r>
          <m:rPr>
            <m:sty m:val="p"/>
          </m:rPr>
          <m:t>−</m:t>
        </m:r>
        <m:r>
          <m:t>t</m:t>
        </m:r>
        <m:r>
          <m:t>a</m:t>
        </m:r>
        <m:r>
          <m:t>x</m:t>
        </m:r>
        <m:r>
          <m:t>m</m:t>
        </m:r>
        <m:r>
          <m:t>e</m:t>
        </m:r>
        <m:r>
          <m:t>r</m:t>
        </m:r>
        <m:r>
          <m:t>g</m:t>
        </m:r>
        <m:r>
          <m:t>e</m:t>
        </m:r>
        <m:r>
          <m:t>r</m:t>
        </m:r>
        <m:r>
          <m:t>c</m:t>
        </m:r>
        <m:r>
          <m:t>h</m:t>
        </m:r>
        <m:r>
          <m:t>a</m:t>
        </m:r>
        <m:r>
          <m:t>r</m:t>
        </m:r>
        <m:r>
          <m:t>g</m:t>
        </m:r>
        <m:r>
          <m:t>e</m:t>
        </m:r>
        <m:r>
          <m:t>s</m:t>
        </m:r>
        <m:r>
          <m:t>a</m:t>
        </m:r>
        <m:r>
          <m:t>n</m:t>
        </m:r>
        <m:r>
          <m:t>d</m:t>
        </m:r>
        <m:r>
          <m:t>D</m:t>
        </m:r>
        <m:r>
          <m:t>a</m:t>
        </m:r>
        <m:r>
          <m:t>y</m:t>
        </m:r>
        <m:r>
          <m:rPr>
            <m:sty m:val="p"/>
          </m:rPr>
          <m:t>−</m:t>
        </m:r>
        <m:r>
          <m:t>1</m:t>
        </m:r>
        <m:r>
          <m:t>A</m:t>
        </m:r>
        <m:r>
          <m:t>C</m:t>
        </m:r>
        <m:r>
          <m:t>L</m:t>
        </m:r>
        <m:r>
          <m:t>b</m:t>
        </m:r>
        <m:r>
          <m:t>u</m:t>
        </m:r>
        <m:r>
          <m:t>i</m:t>
        </m:r>
        <m:r>
          <m:t>l</m:t>
        </m:r>
        <m:r>
          <m:t>d</m:t>
        </m:r>
        <m:r>
          <m:rPr>
            <m:sty m:val="p"/>
          </m:rPr>
          <m:t>)</m:t>
        </m:r>
        <m:r>
          <m:rPr>
            <m:sty m:val="p"/>
          </m:rPr>
          <m:t>.</m:t>
        </m:r>
        <m:r>
          <m:t>E</m:t>
        </m:r>
        <m:r>
          <m:t>x</m:t>
        </m:r>
        <m:r>
          <m:t>p</m:t>
        </m:r>
        <m:r>
          <m:t>e</m:t>
        </m:r>
        <m:r>
          <m:t>c</m:t>
        </m:r>
        <m:r>
          <m:t>t</m:t>
        </m:r>
        <m:r>
          <m:t>G</m:t>
        </m:r>
        <m:r>
          <m:t>A</m:t>
        </m:r>
        <m:r>
          <m:t>A</m:t>
        </m:r>
        <m:r>
          <m:t>P</m:t>
        </m:r>
        <m:r>
          <m:t>t</m:t>
        </m:r>
        <m:r>
          <m:t>o</m:t>
        </m:r>
        <m:r>
          <m:t>a</m:t>
        </m:r>
        <m:r>
          <m:t>g</m:t>
        </m:r>
        <m:r>
          <m:t>a</m:t>
        </m:r>
        <m:r>
          <m:t>i</m:t>
        </m:r>
        <m:r>
          <m:t>n</m:t>
        </m:r>
        <m:r>
          <m:t>b</m:t>
        </m:r>
        <m:r>
          <m:t>e</m:t>
        </m:r>
        <m:r>
          <m:t>m</m:t>
        </m:r>
        <m:r>
          <m:t>e</m:t>
        </m:r>
        <m:r>
          <m:t>s</m:t>
        </m:r>
        <m:r>
          <m:t>s</m:t>
        </m:r>
        <m:r>
          <m:t>y</m:t>
        </m:r>
        <m:r>
          <m:rPr>
            <m:sty m:val="p"/>
          </m:rPr>
          <m:t>—</m:t>
        </m:r>
        <m:r>
          <m:t>r</m:t>
        </m:r>
        <m:r>
          <m:t>o</m:t>
        </m:r>
        <m:r>
          <m:t>u</m:t>
        </m:r>
        <m:r>
          <m:t>g</m:t>
        </m:r>
        <m:r>
          <m:t>h</m:t>
        </m:r>
        <m:r>
          <m:t>l</m:t>
        </m:r>
        <m:r>
          <m:t>y</m:t>
        </m:r>
        <m:r>
          <m:t>h</m:t>
        </m:r>
        <m:r>
          <m:t>a</m:t>
        </m:r>
        <m:r>
          <m:t>l</m:t>
        </m:r>
        <m:r>
          <m:t>f</m:t>
        </m:r>
        <m:r>
          <m:t>o</m:t>
        </m:r>
        <m:r>
          <m:t>f</m:t>
        </m:r>
        <m:r>
          <m:t>t</m:t>
        </m:r>
        <m:r>
          <m:t>o</m:t>
        </m:r>
        <m:r>
          <m:t>t</m:t>
        </m:r>
        <m:r>
          <m:t>a</m:t>
        </m:r>
        <m:r>
          <m:t>l</m:t>
        </m:r>
        <m:r>
          <m:t>m</m:t>
        </m:r>
        <m:r>
          <m:t>e</m:t>
        </m:r>
        <m:r>
          <m:t>r</m:t>
        </m:r>
        <m:r>
          <m:t>g</m:t>
        </m:r>
        <m:r>
          <m:t>e</m:t>
        </m:r>
        <m:r>
          <m:t>r</m:t>
        </m:r>
        <m:r>
          <m:t>c</m:t>
        </m:r>
        <m:r>
          <m:t>h</m:t>
        </m:r>
        <m:r>
          <m:t>a</m:t>
        </m:r>
        <m:r>
          <m:t>r</m:t>
        </m:r>
        <m:r>
          <m:t>g</m:t>
        </m:r>
        <m:r>
          <m:t>e</m:t>
        </m:r>
        <m:r>
          <m:t>s</m:t>
        </m:r>
        <m:r>
          <m:rPr>
            <m:sty m:val="p"/>
          </m:rPr>
          <m:t>(</m:t>
        </m:r>
        <m:r>
          <m:t> </m:t>
        </m:r>
      </m:oMath>
      <w:r>
        <w:t xml:space="preserve">635M) remain to be recognized over the balance of the year, so focus on the adjusted numbers.</w:t>
      </w:r>
    </w:p>
    <w:bookmarkEnd w:id="11"/>
    <w:bookmarkStart w:id="12" w:name="Xe902c59fb325034c560c42f78cc2fa0de9cb0cc"/>
    <w:p>
      <w:pPr>
        <w:pStyle w:val="Heading2"/>
      </w:pPr>
      <w:r>
        <w:t xml:space="preserve">Management's explicit Q2 guidance (from the April call) — the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Q1 2026 actual</w:t>
            </w:r>
          </w:p>
        </w:tc>
      </w:tr>
      <w:tr>
        <w:tc>
          <w:tcPr/>
          <w:p>
            <w:pPr>
              <w:pStyle w:val="Compact"/>
            </w:pPr>
            <w:r>
              <w:t xml:space="preserve">Average loans</w:t>
            </w:r>
          </w:p>
        </w:tc>
        <w:tc>
          <w:tcPr/>
          <w:p>
            <w:pPr>
              <w:pStyle w:val="Compact"/>
            </w:pPr>
            <w:r>
              <w:t xml:space="preserve">$178–179B</w:t>
            </w:r>
          </w:p>
        </w:tc>
        <w:tc>
          <w:tcPr/>
          <w:p>
            <w:pPr>
              <w:pStyle w:val="Compact"/>
            </w:pPr>
            <w:r>
              <w:t xml:space="preserve">$157.6B (avg, 2-mo Comerica)</w:t>
            </w:r>
          </w:p>
        </w:tc>
      </w:tr>
      <w:tr>
        <w:tc>
          <w:tcPr/>
          <w:p>
            <w:pPr>
              <w:pStyle w:val="Compact"/>
            </w:pPr>
            <w:r>
              <w:t xml:space="preserve">Net interest income (FTE)</w:t>
            </w:r>
          </w:p>
        </w:tc>
        <w:tc>
          <w:tcPr/>
          <w:p>
            <w:pPr>
              <w:pStyle w:val="Compact"/>
            </w:pPr>
            <w:r>
              <w:t xml:space="preserve">$2.20–2.25B</w:t>
            </w:r>
          </w:p>
        </w:tc>
        <w:tc>
          <w:tcPr/>
          <w:p>
            <w:pPr>
              <w:pStyle w:val="Compact"/>
            </w:pPr>
            <w:r>
              <w:t xml:space="preserve">$1.94B</w:t>
            </w:r>
          </w:p>
        </w:tc>
      </w:tr>
      <w:tr>
        <w:tc>
          <w:tcPr/>
          <w:p>
            <w:pPr>
              <w:pStyle w:val="Compact"/>
            </w:pPr>
            <w:r>
              <w:t xml:space="preserve">NIM</w:t>
            </w:r>
          </w:p>
        </w:tc>
        <w:tc>
          <w:tcPr/>
          <w:p>
            <w:pPr>
              <w:pStyle w:val="Compact"/>
            </w:pPr>
            <w:r>
              <w:t xml:space="preserve">+3–5 bps expansion</w:t>
            </w:r>
          </w:p>
        </w:tc>
        <w:tc>
          <w:tcPr/>
          <w:p>
            <w:pPr>
              <w:pStyle w:val="Compact"/>
            </w:pPr>
            <w:r>
              <w:t xml:space="preserve">3.30%</w:t>
            </w:r>
          </w:p>
        </w:tc>
      </w:tr>
      <w:tr>
        <w:tc>
          <w:tcPr/>
          <w:p>
            <w:pPr>
              <w:pStyle w:val="Compact"/>
            </w:pPr>
            <w:r>
              <w:t xml:space="preserve">Noninterest income</w:t>
            </w:r>
          </w:p>
        </w:tc>
        <w:tc>
          <w:tcPr/>
          <w:p>
            <w:pPr>
              <w:pStyle w:val="Compact"/>
            </w:pPr>
            <w:r>
              <w:t xml:space="preserve">$1.00–1.06B</w:t>
            </w:r>
          </w:p>
        </w:tc>
        <w:tc>
          <w:tcPr/>
          <w:p>
            <w:pPr>
              <w:pStyle w:val="Compact"/>
            </w:pPr>
            <w:r>
              <w:t xml:space="preserve">$921M adj.</w:t>
            </w:r>
          </w:p>
        </w:tc>
      </w:tr>
      <w:tr>
        <w:tc>
          <w:tcPr/>
          <w:p>
            <w:pPr>
              <w:pStyle w:val="Compact"/>
            </w:pPr>
            <w:r>
              <w:t xml:space="preserve">Noninterest expense (adj.)</w:t>
            </w:r>
          </w:p>
        </w:tc>
        <w:tc>
          <w:tcPr/>
          <w:p>
            <w:pPr>
              <w:pStyle w:val="Compact"/>
            </w:pPr>
            <w:r>
              <w:t xml:space="preserve">$1.87–1.89B</w:t>
            </w:r>
          </w:p>
        </w:tc>
        <w:tc>
          <w:tcPr/>
          <w:p>
            <w:pPr>
              <w:pStyle w:val="Compact"/>
            </w:pPr>
            <w:r>
              <w:t xml:space="preserve">$1.77B</w:t>
            </w:r>
          </w:p>
        </w:tc>
      </w:tr>
      <w:tr>
        <w:tc>
          <w:tcPr/>
          <w:p>
            <w:pPr>
              <w:pStyle w:val="Compact"/>
            </w:pPr>
            <w:r>
              <w:t xml:space="preserve">Net charge-offs</w:t>
            </w:r>
          </w:p>
        </w:tc>
        <w:tc>
          <w:tcPr/>
          <w:p>
            <w:pPr>
              <w:pStyle w:val="Compact"/>
            </w:pPr>
            <w:r>
              <w:t xml:space="preserve">30–35 bps</w:t>
            </w:r>
          </w:p>
        </w:tc>
        <w:tc>
          <w:tcPr/>
          <w:p>
            <w:pPr>
              <w:pStyle w:val="Compact"/>
            </w:pPr>
            <w:r>
              <w:t xml:space="preserve">37 bps</w:t>
            </w:r>
          </w:p>
        </w:tc>
      </w:tr>
    </w:tbl>
    <w:p>
      <w:pPr>
        <w:pStyle w:val="BodyText"/>
      </w:pPr>
      <w:r>
        <w:t xml:space="preserve">Full-year framework to check against:</w:t>
      </w:r>
      <w:r>
        <w:t xml:space="preserve"> </w:t>
      </w:r>
      <w:r>
        <w:rPr>
          <w:b/>
          <w:bCs/>
        </w:rPr>
        <w:t xml:space="preserve">NII $8.7–8.8B, fees $4.0–4.2B, adjusted expense $7.2–7.3B, NCOs 30–40 bps, adjusted PPNR up ~40% YoY.</w:t>
      </w:r>
      <w:r>
        <w:t xml:space="preserve"> </w:t>
      </w:r>
      <w:r>
        <w:t xml:space="preserve">Management wants to</w:t>
      </w:r>
      <w:r>
        <w:t xml:space="preserve"> </w:t>
      </w:r>
      <w:r>
        <w:rPr>
          <w:i/>
          <w:iCs/>
        </w:rPr>
        <w:t xml:space="preserve">exit 2026 at or near its 2027 profitability/efficiency targets</w:t>
      </w:r>
      <w:r>
        <w:t xml:space="preserve"> </w:t>
      </w:r>
      <w:r>
        <w:t xml:space="preserve">(~53% efficiency, high-teens ROTCE).</w:t>
      </w:r>
    </w:p>
    <w:bookmarkEnd w:id="12"/>
    <w:bookmarkStart w:id="13" w:name="what-id-focus-on-in-the-details"/>
    <w:p>
      <w:pPr>
        <w:pStyle w:val="Heading2"/>
      </w:pPr>
      <w:r>
        <w:t xml:space="preserve">What I'd focus on in the details</w:t>
      </w:r>
    </w:p>
    <w:p>
      <w:pPr>
        <w:pStyle w:val="FirstParagraph"/>
      </w:pPr>
      <w:r>
        <w:rPr>
          <w:b/>
          <w:bCs/>
        </w:rPr>
        <w:t xml:space="preserve">1. NIM trajectory.</w:t>
      </w:r>
      <w:r>
        <w:t xml:space="preserve"> </w:t>
      </w:r>
      <w:r>
        <w:t xml:space="preserve">Q1 NIM jumped 17 bps to 3.30% on purchase-accounting benefits; management expects it to grind toward</w:t>
      </w:r>
      <w:r>
        <w:t xml:space="preserve"> </w:t>
      </w:r>
      <w:r>
        <w:rPr>
          <w:b/>
          <w:bCs/>
        </w:rPr>
        <w:t xml:space="preserve">~3.40% exiting 2026</w:t>
      </w:r>
      <w:r>
        <w:t xml:space="preserve">, with ~1–1.5 bps/quarter of fixed-asset repricing help. The balance sheet is now</w:t>
      </w:r>
      <w:r>
        <w:t xml:space="preserve"> </w:t>
      </w:r>
      <w:r>
        <w:rPr>
          <w:b/>
          <w:bCs/>
        </w:rPr>
        <w:t xml:space="preserve">asset-sensitive</w:t>
      </w:r>
      <w:r>
        <w:t xml:space="preserve"> </w:t>
      </w:r>
      <w:r>
        <w:t xml:space="preserve">post-Comerica — a tailwind if the Fed stays on hold (guidance assumes no cuts), but a risk they're gradually hedging ($30–40B of notional they can move out the curve). Listen for how fast they're moving toward neutral.</w:t>
      </w:r>
    </w:p>
    <w:p>
      <w:pPr>
        <w:pStyle w:val="BodyText"/>
      </w:pPr>
      <w:r>
        <w:rPr>
          <w:b/>
          <w:bCs/>
        </w:rPr>
        <w:t xml:space="preserve">2. Deposit costs &amp; funding mix.</w:t>
      </w:r>
      <w:r>
        <w:t xml:space="preserve"> </w:t>
      </w:r>
      <w:r>
        <w:t xml:space="preserve">A genuine differentiator: noninterest-bearing DDA rose to 28% of core deposits (from 25% a year ago), helped by Comerica's commercial DDA. Management said it can hold deposit costs flat even without Fed cuts, absent aggressive loan growth. Watch total deposit costs (158 bps in Q1) and the loan/core-deposit ratio (76%).</w:t>
      </w:r>
    </w:p>
    <w:p>
      <w:pPr>
        <w:pStyle w:val="BodyText"/>
      </w:pPr>
      <w:r>
        <w:rPr>
          <w:b/>
          <w:bCs/>
        </w:rPr>
        <w:t xml:space="preserve">3. Fee momentum.</w:t>
      </w:r>
      <w:r>
        <w:t xml:space="preserve"> </w:t>
      </w:r>
      <w:r>
        <w:t xml:space="preserve">Wealth &amp; asset management and commercial payments each now run at a ~</w:t>
      </w:r>
      <m:oMath>
        <m:r>
          <m:t>1</m:t>
        </m:r>
        <m:r>
          <m:t>B</m:t>
        </m:r>
        <m:r>
          <m:t>a</m:t>
        </m:r>
        <m:r>
          <m:t>n</m:t>
        </m:r>
        <m:r>
          <m:t>n</m:t>
        </m:r>
        <m:r>
          <m:t>u</m:t>
        </m:r>
        <m:r>
          <m:t>a</m:t>
        </m:r>
        <m:r>
          <m:t>l</m:t>
        </m:r>
        <m:r>
          <m:t>i</m:t>
        </m:r>
        <m:r>
          <m:t>z</m:t>
        </m:r>
        <m:r>
          <m:t>e</m:t>
        </m:r>
        <m:r>
          <m:t>d</m:t>
        </m:r>
        <m:r>
          <m:t>p</m:t>
        </m:r>
        <m:r>
          <m:t>a</m:t>
        </m:r>
        <m:r>
          <m:t>c</m:t>
        </m:r>
        <m:r>
          <m:t>e</m:t>
        </m:r>
        <m:r>
          <m:rPr>
            <m:sty m:val="p"/>
          </m:rPr>
          <m:t>.</m:t>
        </m:r>
        <m:r>
          <m:t>C</m:t>
        </m:r>
        <m:r>
          <m:t>a</m:t>
        </m:r>
        <m:r>
          <m:t>p</m:t>
        </m:r>
        <m:r>
          <m:t>i</m:t>
        </m:r>
        <m:r>
          <m:t>t</m:t>
        </m:r>
        <m:r>
          <m:t>a</m:t>
        </m:r>
        <m:r>
          <m:t>l</m:t>
        </m:r>
        <m:r>
          <m:t>m</m:t>
        </m:r>
        <m:r>
          <m:t>a</m:t>
        </m:r>
        <m:r>
          <m:t>r</m:t>
        </m:r>
        <m:r>
          <m:t>k</m:t>
        </m:r>
        <m:r>
          <m:t>e</m:t>
        </m:r>
        <m:r>
          <m:t>t</m:t>
        </m:r>
        <m:r>
          <m:t>s</m:t>
        </m:r>
        <m:r>
          <m:rPr>
            <m:sty m:val="p"/>
          </m:rPr>
          <m:t>(</m:t>
        </m:r>
      </m:oMath>
      <w:r>
        <w:t xml:space="preserve">134M in Q1) is the swing factor and carries embedded conservatism — any pickup in M&amp;A/hedging activity is upside. Newline (payments-as-a-service; Stripe, Circle, Plaid, +30% rev) and the new Direct Express platform launch are growth stories worth tracking.</w:t>
      </w:r>
    </w:p>
    <w:p>
      <w:pPr>
        <w:pStyle w:val="BodyText"/>
      </w:pPr>
      <w:r>
        <w:rPr>
          <w:b/>
          <w:bCs/>
        </w:rPr>
        <w:t xml:space="preserve">4. Credit — the "what they avoided" story.</w:t>
      </w:r>
      <w:r>
        <w:t xml:space="preserve"> </w:t>
      </w:r>
      <w:r>
        <w:t xml:space="preserve">FITB has been deliberately conservative:</w:t>
      </w:r>
      <w:r>
        <w:t xml:space="preserve"> </w:t>
      </w:r>
      <w:r>
        <w:rPr>
          <w:b/>
          <w:bCs/>
        </w:rPr>
        <w:t xml:space="preserve">NDFI exposure only ~7% of loans</w:t>
      </w:r>
      <w:r>
        <w:t xml:space="preserve">,</w:t>
      </w:r>
      <w:r>
        <w:t xml:space="preserve"> </w:t>
      </w:r>
      <w:r>
        <w:rPr>
          <w:b/>
          <w:bCs/>
        </w:rPr>
        <w:t xml:space="preserve">private credit/BDC &lt;1%</w:t>
      </w:r>
      <w:r>
        <w:t xml:space="preserve">,</w:t>
      </w:r>
      <w:r>
        <w:t xml:space="preserve"> </w:t>
      </w:r>
      <w:r>
        <w:rPr>
          <w:b/>
          <w:bCs/>
        </w:rPr>
        <w:t xml:space="preserve">data-center funded exposure &lt;$100M</w:t>
      </w:r>
      <w:r>
        <w:t xml:space="preserve">, software &lt;1%. Charge-offs are near two-year lows. Watch: (a) the Q1 spike in 30–89 day commercial delinquencies, which management attributed to two credits that cured on April 1 — this should reverse; (b)</w:t>
      </w:r>
      <w:r>
        <w:t xml:space="preserve"> </w:t>
      </w:r>
      <w:r>
        <w:rPr>
          <w:b/>
          <w:bCs/>
        </w:rPr>
        <w:t xml:space="preserve">Dividend Finance (solar)</w:t>
      </w:r>
      <w:r>
        <w:t xml:space="preserve">, a known runoff/higher-NCO drag (solar NCOs ~2%); and (c) HELOC, which is growing fast at #1 origination share with high FICO/low LTV.</w:t>
      </w:r>
    </w:p>
    <w:p>
      <w:pPr>
        <w:pStyle w:val="BodyText"/>
      </w:pPr>
      <w:r>
        <w:rPr>
          <w:b/>
          <w:bCs/>
        </w:rPr>
        <w:t xml:space="preserve">5. Capital &amp; the buyback restart.</w:t>
      </w:r>
      <w:r>
        <w:t xml:space="preserve"> </w:t>
      </w:r>
      <w:r>
        <w:t xml:space="preserve">CET1 fell to 9.96% post-deal; new operating target is 10.0–10.5%. Management guided to</w:t>
      </w:r>
      <w:r>
        <w:t xml:space="preserve"> </w:t>
      </w:r>
      <w:r>
        <w:rPr>
          <w:b/>
          <w:bCs/>
        </w:rPr>
        <w:t xml:space="preserve">resuming quarterly buybacks in 2H 2026</w:t>
      </w:r>
      <w:r>
        <w:t xml:space="preserve">, though at a reduced pace initially (historical run-rate $200–300M/qtr). Any color on timing/size is a catalyst. Note the proposed capital rule is a ~100 bps CET1 tailwind (fully-phased pro forma ~9.6%), given the granular, well-secured book. TBV/share grew despite the deal (no tangible book dilution) — a point of pride management will likely reiterate.</w:t>
      </w:r>
    </w:p>
    <w:bookmarkEnd w:id="13"/>
    <w:bookmarkStart w:id="14" w:name="setup--risk-reward-into-the-print"/>
    <w:p>
      <w:pPr>
        <w:pStyle w:val="Heading2"/>
      </w:pPr>
      <w:r>
        <w:t xml:space="preserve">Setup / risk-reward into the print</w:t>
      </w:r>
    </w:p>
    <w:p>
      <w:pPr>
        <w:pStyle w:val="FirstParagraph"/>
      </w:pPr>
      <w:r>
        <w:t xml:space="preserve">The stock is a key consideration: FITB closed at **</w:t>
      </w:r>
      <m:oMath>
        <m:r>
          <m:t>59.39</m:t>
        </m:r>
        <m:r>
          <m:t>o</m:t>
        </m:r>
        <m:r>
          <m:t>n</m:t>
        </m:r>
        <m:r>
          <m:t>J</m:t>
        </m:r>
        <m:r>
          <m:t>u</m:t>
        </m:r>
        <m:r>
          <m:t>l</m:t>
        </m:r>
        <m:r>
          <m:t>y</m:t>
        </m:r>
        <m:r>
          <m:t>16</m:t>
        </m:r>
        <m:r>
          <m:rPr>
            <m:sty m:val="p"/>
          </m:rPr>
          <m:t>,</m:t>
        </m:r>
        <m:r>
          <m:t>u</m:t>
        </m:r>
        <m:r>
          <m:t>p</m:t>
        </m:r>
        <m:r>
          <m:t> </m:t>
        </m:r>
        <m:r>
          <m:t>2.5</m:t>
        </m:r>
      </m:oMath>
      <w:r>
        <w:t xml:space="preserve">47.71 on Jan 2), and it has rallied ~35%+ off its mid-March lows (~$43). It's trading near 52-week highs, meaning</w:t>
      </w:r>
      <w:r>
        <w:t xml:space="preserve"> </w:t>
      </w:r>
      <w:r>
        <w:rPr>
          <w:b/>
          <w:bCs/>
        </w:rPr>
        <w:t xml:space="preserve">the bar is high</w:t>
      </w:r>
      <w:r>
        <w:t xml:space="preserve"> </w:t>
      </w:r>
      <w:r>
        <w:t xml:space="preserve">— clean integration and reaffirmed guidance may already be priced in, so the risk skews toward "sell the news" unless management raises the full-year outlook or gives more concrete revenue-synergy/buyback detail.</w:t>
      </w:r>
    </w:p>
    <w:p>
      <w:pPr>
        <w:pStyle w:val="BodyText"/>
      </w:pPr>
      <w:r>
        <w:rPr>
          <w:b/>
          <w:bCs/>
        </w:rPr>
        <w:t xml:space="preserve">Bull case for the print:</w:t>
      </w:r>
      <w:r>
        <w:t xml:space="preserve"> </w:t>
      </w:r>
      <w:r>
        <w:t xml:space="preserve">full-quarter Comerica earnings power flows through, NIM expands as guided, fees beat on capital markets, cost synergies tracking, buyback timeline confirmed, and management nudges toward the untouched 2027 EPS target of ~$4.89 (which excludes revenue synergies).</w:t>
      </w:r>
    </w:p>
    <w:p>
      <w:pPr>
        <w:pStyle w:val="BodyText"/>
      </w:pPr>
      <w:r>
        <w:rPr>
          <w:b/>
          <w:bCs/>
        </w:rPr>
        <w:t xml:space="preserve">Bear/watch items:</w:t>
      </w:r>
      <w:r>
        <w:t xml:space="preserve"> </w:t>
      </w:r>
      <w:r>
        <w:t xml:space="preserve">any hint of integration slippage ahead of the Labor Day conversion, deposit-cost creep, softer loan utilization (40.7% in Q1), capital markets weakness, or incremental credit noise from Dividend Finance/commercial delinquencies.</w:t>
      </w:r>
    </w:p>
    <w:p>
      <w:pPr>
        <w:pStyle w:val="BodyText"/>
      </w:pPr>
      <w:r>
        <w:rPr>
          <w:b/>
          <w:bCs/>
        </w:rPr>
        <w:t xml:space="preserve">Bottom line:</w:t>
      </w:r>
      <w:r>
        <w:t xml:space="preserve"> </w:t>
      </w:r>
      <w:r>
        <w:t xml:space="preserve">With guidance so specific, this quarter is a "hit the marks and reaffirm" story. Given the strong run into the print, the differentiated read-through will come from the Q4 exit-rate commitments (NIM ~3.40%, efficiency approaching low-50s%, $850M cost run-rate) and the pace/size of the buyback restart — those, more than the Q2 EPS number itself, will drive the stock reaction.</w:t>
      </w:r>
    </w:p>
    <w:p>
      <w:pPr>
        <w:pStyle w:val="BodyText"/>
      </w:pPr>
      <w:r>
        <w:rPr>
          <w:i/>
          <w:iCs/>
        </w:rPr>
        <w:t xml:space="preserve">Note: I was unable to pull FITB-specific wire news for the two weeks immediately preceding the report, so the competitive/late-breaking macro backdrop (e.g., peer bank prints, rate moves) should be cross-checked before trading around the event.</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2026-07-17T00:08:45Z</dcterms:created>
  <dcterms:modified xsi:type="dcterms:W3CDTF">2026-07-17T00:08:45Z</dcterms:modified>
</cp:coreProperties>
</file>

<file path=docProps/custom.xml><?xml version="1.0" encoding="utf-8"?>
<Properties xmlns="http://schemas.openxmlformats.org/officeDocument/2006/custom-properties" xmlns:vt="http://schemas.openxmlformats.org/officeDocument/2006/docPropsVTypes"/>
</file>