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tb-earnings-predictions--2026-07-17"/>
    <w:p>
      <w:pPr>
        <w:pStyle w:val="Heading1"/>
      </w:pPr>
      <w:r>
        <w:t xml:space="preserve">FITB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~$1.01 vs. cons $0.98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~$0.85 vs. cons $0.84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(NII)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~$2.28B vs. cons/guide-midpoint $2.225B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NIM exit-rate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~3.42% vs. cons ~3.40% (Q4 2026 exit rate)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Cost synergy run-rate (Comerica integration)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~$850M vs. cons $850M annualized run-rate (Q4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buyback resumption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300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200-250M/quarter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charge-offs (credit quality)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~30bps vs. cons ~33bps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+1.8% (FOLLOW-THROUGH)</w:t>
            </w:r>
          </w:p>
        </w:tc>
        <w:tc>
          <w:tcPr/>
          <w:p>
            <w:pPr>
              <w:pStyle w:val="Compact"/>
            </w:pPr>
            <w:r>
              <w:t xml:space="preserve">Sector backdrop has been beat-and-raise (CFG, BNY, M&amp;T all posted NII/NIM upside and were rewarded with continued drift), and FITB's synergy run-rate confirmation plus NIM path toward 3.40% by year-end should support incremental 2026/2027 EPS estimate raises after the print rather than a fade. However, the stock's ~27% run into the print, elevated valuation, and the previously flagged negative Zacks Earnings ESP cap the magnitude of follow-through versus a cleaner, cheaper setup; a disappointment on buyback sizing or any Labor Day conversion caveat could clip gains, so follow-through is modest rather than explosive.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2026-07-17T00:12:43Z</dcterms:created>
  <dcterms:modified xsi:type="dcterms:W3CDTF">2026-07-17T00:12:43Z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