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67ab2442af0d8f5a983e65046afd09e66113446"/>
    <w:p>
      <w:pPr>
        <w:pStyle w:val="Heading1"/>
      </w:pPr>
      <w:r>
        <w:t xml:space="preserve">Fifth Third Bancorp (FITB) — Q2 2026 Earnings Preview</w:t>
      </w:r>
    </w:p>
    <w:p>
      <w:pPr>
        <w:pStyle w:val="FirstParagraph"/>
      </w:pPr>
      <w:r>
        <w:rPr>
          <w:b/>
          <w:bCs/>
        </w:rPr>
        <w:t xml:space="preserve">Report date:</w:t>
      </w:r>
      <w:r>
        <w:t xml:space="preserve"> </w:t>
      </w:r>
      <w:r>
        <w:t xml:space="preserve">Friday, July 17, 2026, before market open |</w:t>
      </w:r>
      <w:r>
        <w:t xml:space="preserve"> </w:t>
      </w:r>
      <w:r>
        <w:rPr>
          <w:b/>
          <w:bCs/>
        </w:rPr>
        <w:t xml:space="preserve">Call:</w:t>
      </w:r>
      <w:r>
        <w:t xml:space="preserve"> </w:t>
      </w:r>
      <w:r>
        <w:t xml:space="preserve">2026Q2 Earnings Call</w:t>
      </w:r>
    </w:p>
    <w:bookmarkStart w:id="9" w:name="X50f8eca2e1bed178e4074cc3138ff1d9fab8390"/>
    <w:p>
      <w:pPr>
        <w:pStyle w:val="Heading2"/>
      </w:pPr>
      <w:r>
        <w:t xml:space="preserve">Setup: A stock that has run hard into the print</w:t>
      </w:r>
    </w:p>
    <w:p>
      <w:pPr>
        <w:pStyle w:val="FirstParagraph"/>
      </w:pPr>
      <w:r>
        <w:t xml:space="preserve">FITB shares have been on a strong tear heading into this report, rising from the mid-$40s at the end of March to roughly $59 as of July 16 — a move of ~25-27% over the last several months. Fifth Third Bancorp stock has gained about 25% since 3/31/2026, driven largely by a strong fiscal Q1 2026 earnings beat. The company also completed a transition of its common and preferred stock listings from NASDAQ to the New York Stock Exchange on June 12, 2026, adding some incremental visibility/liquidity narrative alongside the fundamental story.</w:t>
      </w:r>
    </w:p>
    <w:p>
      <w:pPr>
        <w:pStyle w:val="BodyText"/>
      </w:pPr>
      <w:r>
        <w:t xml:space="preserve">Sell-side sentiment is broadly bullish: analysts' consensus opinion on FITB stock is bullish, with a "Strong Buy" rating overall — out of 22 analysts covering the stock, 15 advise a "Strong Buy," one suggests a "Moderate Buy," and six give a "Hold," with an average price target around $57.55. In the run-up to earnings, multiple firms have pushed targets higher: UBS analyst Erika Najarian maintained a Buy rating and raised the price target from $60 to $65 on July 7, 2026, Wells Fargo's Mike Mayo maintained Overweight and boosted his target from $58 to $67 on July 6, and Evercore and JPMorgan also raised targets (to $60 and $61, respectively) in early July. Given how far the stock has run, expectations — and the bar for a "clean" print — are elevated.</w:t>
      </w:r>
    </w:p>
    <w:bookmarkEnd w:id="9"/>
    <w:bookmarkStart w:id="10" w:name="what-to-expect-on-the-numbers"/>
    <w:p>
      <w:pPr>
        <w:pStyle w:val="Heading2"/>
      </w:pPr>
      <w:r>
        <w:t xml:space="preserve">What to expect on the numbers</w:t>
      </w:r>
    </w:p>
    <w:p>
      <w:pPr>
        <w:pStyle w:val="FirstParagraph"/>
      </w:pPr>
      <w:r>
        <w:t xml:space="preserve">Estimates diverge depending on GAAP vs. adjusted framing, largely a function of ongoing Comerica merger charges:</w:t>
      </w:r>
    </w:p>
    <w:p>
      <w:pPr>
        <w:pStyle w:val="Compact"/>
        <w:numPr>
          <w:ilvl w:val="0"/>
          <w:numId w:val="1001"/>
        </w:numPr>
      </w:pPr>
      <w:r>
        <w:rPr>
          <w:b/>
          <w:bCs/>
        </w:rPr>
        <w:t xml:space="preserve">GAAP consensus:</w:t>
      </w:r>
      <w:r>
        <w:t xml:space="preserve"> </w:t>
      </w:r>
      <w:r>
        <w:t xml:space="preserve">analysts expect earnings of 84 cents/share and revenue of $3.25B, with EPS down from 88 cents per share in the year-ago period.</w:t>
      </w:r>
    </w:p>
    <w:p>
      <w:pPr>
        <w:pStyle w:val="Compact"/>
        <w:numPr>
          <w:ilvl w:val="0"/>
          <w:numId w:val="1001"/>
        </w:numPr>
      </w:pPr>
      <w:r>
        <w:rPr>
          <w:b/>
          <w:bCs/>
        </w:rPr>
        <w:t xml:space="preserve">Adjusted consensus:</w:t>
      </w:r>
      <w:r>
        <w:t xml:space="preserve"> </w:t>
      </w:r>
      <w:r>
        <w:t xml:space="preserve">other trackers show analysts expecting FITB to report an adjusted profit of $0.98 per share, up 8.9% from $0.90 per share in the year-ago quarter.</w:t>
      </w:r>
    </w:p>
    <w:p>
      <w:pPr>
        <w:pStyle w:val="Compact"/>
        <w:numPr>
          <w:ilvl w:val="0"/>
          <w:numId w:val="1001"/>
        </w:numPr>
      </w:pPr>
      <w:r>
        <w:t xml:space="preserve">The market is expecting revenue to grow 45.4% year-on-year, a sharp acceleration from the 5.9% increase recorded in the same quarter last year — almost entirely a function of the Comerica acquisition being fully in the base for the first time.</w:t>
      </w:r>
    </w:p>
    <w:p>
      <w:pPr>
        <w:pStyle w:val="Compact"/>
        <w:numPr>
          <w:ilvl w:val="0"/>
          <w:numId w:val="1001"/>
        </w:numPr>
      </w:pPr>
      <w:r>
        <w:t xml:space="preserve">Note: one Zacks-linked estimate flags a negative Earnings ESP of -0.61%, suggesting a lower likelihood of a beat this quarter, a modest caution sign even amid otherwise bullish framing.</w:t>
      </w:r>
    </w:p>
    <w:p>
      <w:pPr>
        <w:pStyle w:val="FirstParagraph"/>
      </w:pPr>
      <w:r>
        <w:t xml:space="preserve">These figures largely track management's own Q1 guidance for Q2: average loans of $178–179 billion, NII of $2.2–2.25 billion (with NIM expanding another 3–5 bps), noninterest income of $1.0–1.06 billion, noninterest expense of $1.87–1.89 billion, and net charge-offs of 30–35 bps.</w:t>
      </w:r>
    </w:p>
    <w:bookmarkEnd w:id="10"/>
    <w:bookmarkStart w:id="11" w:name="X51ae2eb8717d1dce6339277dba5af032d3b2c59"/>
    <w:p>
      <w:pPr>
        <w:pStyle w:val="Heading2"/>
      </w:pPr>
      <w:r>
        <w:t xml:space="preserve">The core story: Comerica integration execution</w:t>
      </w:r>
    </w:p>
    <w:p>
      <w:pPr>
        <w:pStyle w:val="FirstParagraph"/>
      </w:pPr>
      <w:r>
        <w:t xml:space="preserve">The February 1, 2026 close of the Comerica acquisition — described by management as the largest M&amp;A transaction in Fifth Third's history — remains the dominant lens for this quarter. On the Q1 call, CEO Tim Spence and CFO Bryan Preston laid out a detailed roadmap that investors will be checking Fifth Third against:</w:t>
      </w:r>
    </w:p>
    <w:p>
      <w:pPr>
        <w:pStyle w:val="Compact"/>
        <w:numPr>
          <w:ilvl w:val="0"/>
          <w:numId w:val="1002"/>
        </w:numPr>
      </w:pPr>
      <w:r>
        <w:rPr>
          <w:b/>
          <w:bCs/>
        </w:rPr>
        <w:t xml:space="preserve">Cost synergies:</w:t>
      </w:r>
      <w:r>
        <w:t xml:space="preserve"> </w:t>
      </w:r>
      <w:r>
        <w:t xml:space="preserve">Management guided to</w:t>
      </w:r>
      <w:r>
        <w:t xml:space="preserve"> </w:t>
      </w:r>
      <m:oMath>
        <m:r>
          <m:t>360</m:t>
        </m:r>
        <m:r>
          <m:t>m</m:t>
        </m:r>
        <m:r>
          <m:t>i</m:t>
        </m:r>
        <m:r>
          <m:t>l</m:t>
        </m:r>
        <m:r>
          <m:t>l</m:t>
        </m:r>
        <m:r>
          <m:t>i</m:t>
        </m:r>
        <m:r>
          <m:t>o</m:t>
        </m:r>
        <m:r>
          <m:t>n</m:t>
        </m:r>
        <m:r>
          <m:t>o</m:t>
        </m:r>
        <m:r>
          <m:t>f</m:t>
        </m:r>
        <m:r>
          <m:t>n</m:t>
        </m:r>
        <m:r>
          <m:t>e</m:t>
        </m:r>
        <m:r>
          <m:t>t</m:t>
        </m:r>
        <m:r>
          <m:t>c</m:t>
        </m:r>
        <m:r>
          <m:t>o</m:t>
        </m:r>
        <m:r>
          <m:t>s</m:t>
        </m:r>
        <m:r>
          <m:t>t</m:t>
        </m:r>
        <m:r>
          <m:t>s</m:t>
        </m:r>
        <m:r>
          <m:t>a</m:t>
        </m:r>
        <m:r>
          <m:t>v</m:t>
        </m:r>
        <m:r>
          <m:t>i</m:t>
        </m:r>
        <m:r>
          <m:t>n</m:t>
        </m:r>
        <m:r>
          <m:t>g</m:t>
        </m:r>
        <m:r>
          <m:t>s</m:t>
        </m:r>
        <m:r>
          <m:t>i</m:t>
        </m:r>
        <m:r>
          <m:t>n</m:t>
        </m:r>
        <m:r>
          <m:t>2026</m:t>
        </m:r>
        <m:r>
          <m:rPr>
            <m:sty m:val="p"/>
          </m:rPr>
          <m:t>*</m:t>
        </m:r>
        <m:r>
          <m:rPr>
            <m:sty m:val="p"/>
          </m:rPr>
          <m:t>*</m:t>
        </m:r>
        <m:r>
          <m:rPr>
            <m:sty m:val="p"/>
          </m:rPr>
          <m:t>,</m:t>
        </m:r>
        <m:r>
          <m:t>b</m:t>
        </m:r>
        <m:r>
          <m:t>u</m:t>
        </m:r>
        <m:r>
          <m:t>i</m:t>
        </m:r>
        <m:r>
          <m:t>l</m:t>
        </m:r>
        <m:r>
          <m:t>d</m:t>
        </m:r>
        <m:r>
          <m:t>i</m:t>
        </m:r>
        <m:r>
          <m:t>n</m:t>
        </m:r>
        <m:r>
          <m:t>g</m:t>
        </m:r>
        <m:r>
          <m:t>t</m:t>
        </m:r>
        <m:r>
          <m:t>o</m:t>
        </m:r>
        <m:r>
          <m:t>a</m:t>
        </m:r>
        <m:r>
          <m:t>n</m:t>
        </m:r>
        <m:r>
          <m:rPr>
            <m:sty m:val="p"/>
          </m:rPr>
          <m:t>*</m:t>
        </m:r>
        <m:r>
          <m:rPr>
            <m:sty m:val="p"/>
          </m:rPr>
          <m:t>*</m:t>
        </m:r>
      </m:oMath>
      <w:r>
        <w:rPr>
          <w:b/>
          <w:bCs/>
        </w:rPr>
        <w:t xml:space="preserve">850 million annualized run rate by Q4 2026</w:t>
      </w:r>
      <w:r>
        <w:t xml:space="preserve">, with the technology systems conversion targeted for Labor Day weekend. Investors will want confirmation that integration milestones (mock conversions, branch consolidation, org design) remain on track with "no surprises" — management's own framing of success at this stage.</w:t>
      </w:r>
    </w:p>
    <w:p>
      <w:pPr>
        <w:pStyle w:val="Compact"/>
        <w:numPr>
          <w:ilvl w:val="0"/>
          <w:numId w:val="1002"/>
        </w:numPr>
      </w:pPr>
      <w:r>
        <w:rPr>
          <w:b/>
          <w:bCs/>
        </w:rPr>
        <w:t xml:space="preserve">Texas/Southwest expansion:</w:t>
      </w:r>
      <w:r>
        <w:t xml:space="preserve"> </w:t>
      </w:r>
      <w:r>
        <w:t xml:space="preserve">Early deposit-campaign results in Texas were called out as a positive surprise, with management noting response rates running well above legacy-market norins after re-grounding targeting models, and a subsequent 6-million-household mailing expected to generate roughly $1 billion in deposits across Texas, Arizona and California (already embedded in guidance, not incremental upside).</w:t>
      </w:r>
    </w:p>
    <w:p>
      <w:pPr>
        <w:pStyle w:val="Compact"/>
        <w:numPr>
          <w:ilvl w:val="0"/>
          <w:numId w:val="1002"/>
        </w:numPr>
      </w:pPr>
      <w:r>
        <w:rPr>
          <w:b/>
          <w:bCs/>
        </w:rPr>
        <w:t xml:space="preserve">Revenue synergies:</w:t>
      </w:r>
      <w:r>
        <w:t xml:space="preserve"> </w:t>
      </w:r>
      <w:r>
        <w:t xml:space="preserve">Early wins in capital markets, payments cross-sell, and asset-based lending referrals were highlighted; none of this was included in the original deal model, so any visible traction here is straightforwardly incremental to the long-term EPS targets (the deal was originally modeled to $4.89 in 2027 EPS with no revenue synergies assumed).</w:t>
      </w:r>
    </w:p>
    <w:p>
      <w:pPr>
        <w:pStyle w:val="Compact"/>
        <w:numPr>
          <w:ilvl w:val="0"/>
          <w:numId w:val="1002"/>
        </w:numPr>
      </w:pPr>
      <w:r>
        <w:rPr>
          <w:b/>
          <w:bCs/>
        </w:rPr>
        <w:t xml:space="preserve">NIM trajectory:</w:t>
      </w:r>
      <w:r>
        <w:t xml:space="preserve"> </w:t>
      </w:r>
      <w:r>
        <w:t xml:space="preserve">Management guided toward NIM approaching ~3.40% by year-end, aided by fixed-rate asset repricing and purchase-accounting accretion normalizing quarter to quarter.</w:t>
      </w:r>
    </w:p>
    <w:bookmarkEnd w:id="11"/>
    <w:bookmarkStart w:id="12" w:name="X509e97cbb0770afcae99974cf396ae873ea8207"/>
    <w:p>
      <w:pPr>
        <w:pStyle w:val="Heading2"/>
      </w:pPr>
      <w:r>
        <w:t xml:space="preserve">Credit quality and balance sheet positioning</w:t>
      </w:r>
    </w:p>
    <w:p>
      <w:pPr>
        <w:pStyle w:val="FirstParagraph"/>
      </w:pPr>
      <w:r>
        <w:t xml:space="preserve">Credit was a bright spot last quarter, with net charge-offs at a two-year low, and guidance calls for continued benign trends (30–35 bps in Q2). A key differentiator versus peers that investors have rewarded: management has repeatedly emphasized minimal exposure to higher-risk growth areas — nondepository financial institutions (NDFI) exposure well below industry averages, private credit/BDC lending under 1% of total loans, and data center/software lending intentionally limited. This conservative positioning, contrasted with more aggressive growth at some peers, is likely to remain a talking point.</w:t>
      </w:r>
    </w:p>
    <w:p>
      <w:pPr>
        <w:pStyle w:val="BodyText"/>
      </w:pPr>
      <w:r>
        <w:t xml:space="preserve">On capital, Fifth Third updated its CET1 operating target to 10–10.5% following the proposed capital rule (ERBA), and signaled it expects to</w:t>
      </w:r>
      <w:r>
        <w:t xml:space="preserve"> </w:t>
      </w:r>
      <w:r>
        <w:rPr>
          <w:b/>
          <w:bCs/>
        </w:rPr>
        <w:t xml:space="preserve">resume regular quarterly share buybacks in the second half of 2026</w:t>
      </w:r>
      <w:r>
        <w:t xml:space="preserve"> </w:t>
      </w:r>
      <w:r>
        <w:t xml:space="preserve">— a key catalyst investors will look for confirmation/sizing on this quarter, alongside continued tangible book value per share growth (which grew even through the Comerica close without dilution).</w:t>
      </w:r>
    </w:p>
    <w:bookmarkEnd w:id="12"/>
    <w:bookmarkStart w:id="13" w:name="Xc84072cb77d10205c4e22045a3afce962180133"/>
    <w:p>
      <w:pPr>
        <w:pStyle w:val="Heading2"/>
      </w:pPr>
      <w:r>
        <w:t xml:space="preserve">Sector backdrop: a strong bank earnings season</w:t>
      </w:r>
    </w:p>
    <w:p>
      <w:pPr>
        <w:pStyle w:val="FirstParagraph"/>
      </w:pPr>
      <w:r>
        <w:t xml:space="preserve">FITB reports into a favorable read-through environment. Peers have largely beaten and raised this cycle: CFG (Citizens) reported Q2 earnings per share of $1.30, exceeding Street expectations of $1.25 and raised guidance; BNY raised its 2026 revenue forecast after record second-quarter results, with net interest income surging 20%; M&amp;T Bank posted a rise in second-quarter profit driven by higher interest income, with net interest margin widening 8 basis points to 3.70%; and JPMorgan Chase reported the highest profit in history by a U.S. bank. Regional-bank sentiment has clearly been constructive, and FITB's own share-price strength reflects that tailwind.</w:t>
      </w:r>
    </w:p>
    <w:p>
      <w:pPr>
        <w:pStyle w:val="BodyText"/>
      </w:pPr>
      <w:r>
        <w:t xml:space="preserve">That said, the macro backdrop carries some crosscurrents. Fed officials have recently struck a hawkish tone — Kansas City Fed President Jeff Schmid said inflation remains his biggest worry, stating his primary concern is inflation, which is too hot and has been above target for too long, and Fed Vice Chair Philip Jefferson suggested the central bank should consider raising rates if inflation doesn't cool soon. This matters directly for Fifth Third's plan: management's Q1 outlook assumed</w:t>
      </w:r>
      <w:r>
        <w:t xml:space="preserve"> </w:t>
      </w:r>
      <w:r>
        <w:rPr>
          <w:b/>
          <w:bCs/>
        </w:rPr>
        <w:t xml:space="preserve">no rate cuts or hikes in 2026</w:t>
      </w:r>
      <w:r>
        <w:t xml:space="preserve">, and the bank has been intentionally managing toward a more neutral rate-risk position given its post-merger asset sensitivity. Any hawkish surprise reinforces the "higher for longer" NII tailwind management has been counting on, but a dovish pivot could complicate the NIM glide path they've guided to.</w:t>
      </w:r>
    </w:p>
    <w:p>
      <w:pPr>
        <w:pStyle w:val="BodyText"/>
      </w:pPr>
      <w:r>
        <w:t xml:space="preserve">Management also flagged</w:t>
      </w:r>
      <w:r>
        <w:t xml:space="preserve"> </w:t>
      </w:r>
      <w:r>
        <w:rPr>
          <w:b/>
          <w:bCs/>
        </w:rPr>
        <w:t xml:space="preserve">geopolitical risk</w:t>
      </w:r>
      <w:r>
        <w:t xml:space="preserve"> </w:t>
      </w:r>
      <w:r>
        <w:t xml:space="preserve">on the Q1 call — specifically the war in Iran and its impact on energy/commodity prices, growth, and rates — as a factor being monitored, though not seen as derailing the base case.</w:t>
      </w:r>
    </w:p>
    <w:bookmarkEnd w:id="13"/>
    <w:bookmarkStart w:id="14" w:name="key-questions-for-the-call"/>
    <w:p>
      <w:pPr>
        <w:pStyle w:val="Heading2"/>
      </w:pPr>
      <w:r>
        <w:t xml:space="preserve">Key questions for the call</w:t>
      </w:r>
    </w:p>
    <w:p>
      <w:pPr>
        <w:pStyle w:val="Compact"/>
        <w:numPr>
          <w:ilvl w:val="0"/>
          <w:numId w:val="1003"/>
        </w:numPr>
      </w:pPr>
      <w:r>
        <w:rPr>
          <w:b/>
          <w:bCs/>
        </w:rPr>
        <w:t xml:space="preserve">Integration on schedule?</w:t>
      </w:r>
      <w:r>
        <w:t xml:space="preserve"> </w:t>
      </w:r>
      <w:r>
        <w:t xml:space="preserve">Confirmation that the Labor Day systems conversion remains on track, with the $850M run-rate synergy target for Q4 intact.</w:t>
      </w:r>
    </w:p>
    <w:p>
      <w:pPr>
        <w:pStyle w:val="Compact"/>
        <w:numPr>
          <w:ilvl w:val="0"/>
          <w:numId w:val="1003"/>
        </w:numPr>
      </w:pPr>
      <w:r>
        <w:rPr>
          <w:b/>
          <w:bCs/>
        </w:rPr>
        <w:t xml:space="preserve">NII/NIM trajectory:</w:t>
      </w:r>
      <w:r>
        <w:t xml:space="preserve"> </w:t>
      </w:r>
      <w:r>
        <w:t xml:space="preserve">Does NIM continue expanding toward the ~3.40% exit-rate target, and how much benefit comes from fixed-rate repricing vs. purchase accounting accretion normalizing down?</w:t>
      </w:r>
    </w:p>
    <w:p>
      <w:pPr>
        <w:pStyle w:val="Compact"/>
        <w:numPr>
          <w:ilvl w:val="0"/>
          <w:numId w:val="1003"/>
        </w:numPr>
      </w:pPr>
      <w:r>
        <w:rPr>
          <w:b/>
          <w:bCs/>
        </w:rPr>
        <w:t xml:space="preserve">Buyback timing/size:</w:t>
      </w:r>
      <w:r>
        <w:t xml:space="preserve"> </w:t>
      </w:r>
      <w:r>
        <w:t xml:space="preserve">Any more specific guidance on H2 2026 repurchase cadence given CET1 build and organic growth needs.</w:t>
      </w:r>
    </w:p>
    <w:p>
      <w:pPr>
        <w:pStyle w:val="Compact"/>
        <w:numPr>
          <w:ilvl w:val="0"/>
          <w:numId w:val="1003"/>
        </w:numPr>
      </w:pPr>
      <w:r>
        <w:rPr>
          <w:b/>
          <w:bCs/>
        </w:rPr>
        <w:t xml:space="preserve">Texas/Southwest momentum:</w:t>
      </w:r>
      <w:r>
        <w:t xml:space="preserve"> </w:t>
      </w:r>
      <w:r>
        <w:t xml:space="preserve">Update on de novo branch openings (targeting 150) and deposit-campaign conversion into primary checking relationships.</w:t>
      </w:r>
    </w:p>
    <w:p>
      <w:pPr>
        <w:pStyle w:val="Compact"/>
        <w:numPr>
          <w:ilvl w:val="0"/>
          <w:numId w:val="1003"/>
        </w:numPr>
      </w:pPr>
      <w:r>
        <w:rPr>
          <w:b/>
          <w:bCs/>
        </w:rPr>
        <w:t xml:space="preserve">Credit quality:</w:t>
      </w:r>
      <w:r>
        <w:t xml:space="preserve"> </w:t>
      </w:r>
      <w:r>
        <w:t xml:space="preserve">Any migration in criticized assets/NDFI, and continued read on Dividend Finance (auto/solar lending) charge-off trends flagged as a slow, known drag.</w:t>
      </w:r>
    </w:p>
    <w:p>
      <w:pPr>
        <w:pStyle w:val="Compact"/>
        <w:numPr>
          <w:ilvl w:val="0"/>
          <w:numId w:val="1003"/>
        </w:numPr>
      </w:pPr>
      <w:r>
        <w:rPr>
          <w:b/>
          <w:bCs/>
        </w:rPr>
        <w:t xml:space="preserve">Revenue synergies:</w:t>
      </w:r>
      <w:r>
        <w:t xml:space="preserve"> </w:t>
      </w:r>
      <w:r>
        <w:t xml:space="preserve">Tangible signs of upside to the original no-synergy 2027 EPS target of $4.89.</w:t>
      </w:r>
    </w:p>
    <w:bookmarkEnd w:id="14"/>
    <w:bookmarkStart w:id="15" w:name="bottom-line"/>
    <w:p>
      <w:pPr>
        <w:pStyle w:val="Heading2"/>
      </w:pPr>
      <w:r>
        <w:t xml:space="preserve">Bottom line</w:t>
      </w:r>
    </w:p>
    <w:p>
      <w:pPr>
        <w:pStyle w:val="FirstParagraph"/>
      </w:pPr>
      <w:r>
        <w:t xml:space="preserve">Fifth Third goes into this print as a "show-me, but mostly showing well" story: a large, complex acquisition integration that management says is running ahead of plan, strong underlying organic trends in the Southeast, disciplined/conservative credit positioning relative to peers on NDFI and private credit, and a supportive sector backdrop with peers beating and raising. The main tension is valuation and expectations — shares are up sharply, price targets have been chased higher into the print, and at least one model flags a negative earnings ESP — meaning the bar for a "beat and raise" that satisfies the market is now fairly high. Execution on the Comerica integration (especially the looming Labor Day conversion) and the pace/size of capital return resumption are likely to matter more for the stock reaction than the headline EPS number itself.</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2026-07-17T00:12:43Z</dcterms:created>
  <dcterms:modified xsi:type="dcterms:W3CDTF">2026-07-17T00:12:43Z</dcterms:modified>
</cp:coreProperties>
</file>

<file path=docProps/custom.xml><?xml version="1.0" encoding="utf-8"?>
<Properties xmlns="http://schemas.openxmlformats.org/officeDocument/2006/custom-properties" xmlns:vt="http://schemas.openxmlformats.org/officeDocument/2006/docPropsVTypes"/>
</file>