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tb-earnings-predictions--2026-07-17"/>
    <w:p>
      <w:pPr>
        <w:pStyle w:val="Heading1"/>
      </w:pPr>
      <w:r>
        <w:t xml:space="preserve">FITB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$0.98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~$2.24B vs. cons $2.23B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~30 bps vs. cons 32.5 bps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~$8.85B vs. cons $8.78B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noninterest expense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~$7.23B vs. cons $7.25B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charge-off ratio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~32.5 bps vs. cons 35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margin exit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~3.40% vs. cons 3.40% (4Q26 exit)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Comerica cost-synergy run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~$850M vs. cons $850M (4Q26 annualized)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+2.2% (FOLLOW-THROUGH)</w:t>
            </w:r>
          </w:p>
        </w:tc>
        <w:tc>
          <w:tcPr/>
          <w:p>
            <w:pPr>
              <w:pStyle w:val="Compact"/>
            </w:pPr>
            <w:r>
              <w:t xml:space="preserve">Modest report upside is partly preannounced, but higher FY2026 NII, lower credit costs, and preserved $850M synergy math should lift out-period EPS estimates and support additional gains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2026-07-17T00:08:40Z</dcterms:created>
  <dcterms:modified xsi:type="dcterms:W3CDTF">2026-07-17T00:08:40Z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