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fitb-2q26-earnings-preview"/>
    <w:p>
      <w:pPr>
        <w:pStyle w:val="Heading1"/>
      </w:pPr>
      <w:r>
        <w:t xml:space="preserve">FITB 2Q26 Earnings Preview</w:t>
      </w:r>
    </w:p>
    <w:p>
      <w:pPr>
        <w:pStyle w:val="FirstParagraph"/>
      </w:pPr>
      <w:r>
        <w:rPr>
          <w:b/>
          <w:bCs/>
        </w:rPr>
        <w:t xml:space="preserve">Report date:</w:t>
      </w:r>
      <w:r>
        <w:t xml:space="preserve"> </w:t>
      </w:r>
      <w:r>
        <w:t xml:space="preserve">July 17, 2026</w:t>
      </w:r>
      <w:r>
        <w:br/>
      </w:r>
      <w:r>
        <w:rPr>
          <w:b/>
          <w:bCs/>
        </w:rPr>
        <w:t xml:space="preserve">Event:</w:t>
      </w:r>
      <w:r>
        <w:t xml:space="preserve"> </w:t>
      </w:r>
      <w:r>
        <w:t xml:space="preserve">2026Q2 Earnings Call</w:t>
      </w:r>
      <w:r>
        <w:br/>
      </w:r>
      <w:r>
        <w:rPr>
          <w:b/>
          <w:bCs/>
        </w:rPr>
        <w:t xml:space="preserve">Last close:</w:t>
      </w:r>
      <w:r>
        <w:t xml:space="preserve"> </w:t>
      </w:r>
      <w:r>
        <w:t xml:space="preserve">$59.39 on July 16</w:t>
      </w:r>
    </w:p>
    <w:bookmarkStart w:id="9" w:name="investment-view-going-into-the-quarter"/>
    <w:p>
      <w:pPr>
        <w:pStyle w:val="Heading2"/>
      </w:pPr>
      <w:r>
        <w:t xml:space="preserve">Investment view going into the quarter</w:t>
      </w:r>
    </w:p>
    <w:p>
      <w:pPr>
        <w:pStyle w:val="FirstParagraph"/>
      </w:pPr>
      <w:r>
        <w:t xml:space="preserve">Fifth Third’s report is less about whether second-quarter earnings beat by a few cents and more about whether the</w:t>
      </w:r>
      <w:r>
        <w:t xml:space="preserve"> </w:t>
      </w:r>
      <w:r>
        <w:rPr>
          <w:b/>
          <w:bCs/>
        </w:rPr>
        <w:t xml:space="preserve">Comerica integration is converting into durable earnings power without creating funding, credit, or capital problems</w:t>
      </w:r>
      <w:r>
        <w:t xml:space="preserve">.</w:t>
      </w:r>
    </w:p>
    <w:p>
      <w:pPr>
        <w:pStyle w:val="BodyText"/>
      </w:pPr>
      <w:r>
        <w:t xml:space="preserve">Management effectively preannounced a constructive quarter at the June 10 Morgan Stanley conference:</w:t>
      </w:r>
    </w:p>
    <w:p>
      <w:pPr>
        <w:pStyle w:val="Compact"/>
        <w:numPr>
          <w:ilvl w:val="0"/>
          <w:numId w:val="1001"/>
        </w:numPr>
      </w:pPr>
      <w:r>
        <w:t xml:space="preserve">Net interest income and fees were tracking in line with guidance.</w:t>
      </w:r>
    </w:p>
    <w:p>
      <w:pPr>
        <w:pStyle w:val="Compact"/>
        <w:numPr>
          <w:ilvl w:val="0"/>
          <w:numId w:val="1001"/>
        </w:numPr>
      </w:pPr>
      <w:r>
        <w:t xml:space="preserve">Expenses were running near the</w:t>
      </w:r>
      <w:r>
        <w:t xml:space="preserve"> </w:t>
      </w:r>
      <w:r>
        <w:rPr>
          <w:b/>
          <w:bCs/>
        </w:rPr>
        <w:t xml:space="preserve">low end</w:t>
      </w:r>
      <w:r>
        <w:t xml:space="preserve"> </w:t>
      </w:r>
      <w:r>
        <w:t xml:space="preserve">of guidance.</w:t>
      </w:r>
    </w:p>
    <w:p>
      <w:pPr>
        <w:pStyle w:val="Compact"/>
        <w:numPr>
          <w:ilvl w:val="0"/>
          <w:numId w:val="1001"/>
        </w:numPr>
      </w:pPr>
      <w:r>
        <w:t xml:space="preserve">Net charge-offs were leaning toward the</w:t>
      </w:r>
      <w:r>
        <w:t xml:space="preserve"> </w:t>
      </w:r>
      <w:r>
        <w:rPr>
          <w:b/>
          <w:bCs/>
        </w:rPr>
        <w:t xml:space="preserve">bottom end</w:t>
      </w:r>
      <w:r>
        <w:t xml:space="preserve"> </w:t>
      </w:r>
      <w:r>
        <w:t xml:space="preserve">of the projected range.</w:t>
      </w:r>
    </w:p>
    <w:p>
      <w:pPr>
        <w:pStyle w:val="Compact"/>
        <w:numPr>
          <w:ilvl w:val="0"/>
          <w:numId w:val="1001"/>
        </w:numPr>
      </w:pPr>
      <w:r>
        <w:t xml:space="preserve">Pre-provision net revenue was expected to be</w:t>
      </w:r>
      <w:r>
        <w:t xml:space="preserve"> </w:t>
      </w:r>
      <w:r>
        <w:rPr>
          <w:b/>
          <w:bCs/>
        </w:rPr>
        <w:t xml:space="preserve">slightly better</w:t>
      </w:r>
      <w:r>
        <w:t xml:space="preserve"> </w:t>
      </w:r>
      <w:r>
        <w:t xml:space="preserve">than the original outlook.</w:t>
      </w:r>
    </w:p>
    <w:p>
      <w:pPr>
        <w:pStyle w:val="Compact"/>
        <w:numPr>
          <w:ilvl w:val="0"/>
          <w:numId w:val="1001"/>
        </w:numPr>
      </w:pPr>
      <w:r>
        <w:t xml:space="preserve">Integration milestones and cost savings remained on schedule.</w:t>
      </w:r>
    </w:p>
    <w:p>
      <w:pPr>
        <w:pStyle w:val="FirstParagraph"/>
      </w:pPr>
      <w:r>
        <w:t xml:space="preserve">That creates a favorable setup, but it also raises the bar. FITB shares have appreciated approximately</w:t>
      </w:r>
      <w:r>
        <w:t xml:space="preserve"> </w:t>
      </w:r>
      <w:r>
        <w:rPr>
          <w:b/>
          <w:bCs/>
        </w:rPr>
        <w:t xml:space="preserve">20% since the day before first-quarter earnings</w:t>
      </w:r>
      <w:r>
        <w:t xml:space="preserve">, so a merely in-line quarter may not be enough. The most important variables will be the forward outlook, Comerica integration progress, and confidence in the fourth-quarter profitability targets.</w:t>
      </w:r>
    </w:p>
    <w:p>
      <w:r>
        <w:pict>
          <v:rect style="width:0;height:1.5pt" o:hralign="center" o:hrstd="t" o:hr="t"/>
        </w:pict>
      </w:r>
    </w:p>
    <w:bookmarkEnd w:id="9"/>
    <w:bookmarkStart w:id="10" w:name="the-second-quarter-bar"/>
    <w:p>
      <w:pPr>
        <w:pStyle w:val="Heading2"/>
      </w:pPr>
      <w:r>
        <w:t xml:space="preserve">The second-quarter bar</w:t>
      </w:r>
    </w:p>
    <w:p>
      <w:pPr>
        <w:pStyle w:val="FirstParagraph"/>
      </w:pPr>
      <w:r>
        <w:t xml:space="preserve">Management provided the following guidance in April: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guidance</w:t>
            </w:r>
          </w:p>
        </w:tc>
        <w:tc>
          <w:tcPr/>
          <w:p>
            <w:pPr>
              <w:pStyle w:val="Compact"/>
            </w:pPr>
            <w:r>
              <w:t xml:space="preserve">What to watch</w:t>
            </w:r>
          </w:p>
        </w:tc>
      </w:tr>
      <w:tr>
        <w:tc>
          <w:tcPr/>
          <w:p>
            <w:pPr>
              <w:pStyle w:val="Compact"/>
            </w:pPr>
            <w:r>
              <w:t xml:space="preserve">Average loans</w:t>
            </w:r>
          </w:p>
        </w:tc>
        <w:tc>
          <w:tcPr/>
          <w:p>
            <w:pPr>
              <w:pStyle w:val="Compact"/>
              <w:jc w:val="right"/>
            </w:pPr>
            <m:oMath>
              <m:r>
                <m:t>178</m:t>
              </m:r>
              <m:r>
                <m:t>B</m:t>
              </m:r>
              <m:r>
                <m:rPr>
                  <m:sty m:val="p"/>
                </m:rPr>
                <m:t>–</m:t>
              </m:r>
            </m:oMath>
            <w:r>
              <w:rPr>
                <w:b/>
                <w:bCs/>
              </w:rPr>
              <w:t xml:space="preserve">179B</w:t>
            </w:r>
          </w:p>
        </w:tc>
        <w:tc>
          <w:tcPr/>
          <w:p>
            <w:pPr>
              <w:pStyle w:val="Compact"/>
            </w:pPr>
            <w:r>
              <w:t xml:space="preserve">C&amp;I utilization, home equity and auto growth</w:t>
            </w:r>
          </w:p>
        </w:tc>
      </w:tr>
      <w:tr>
        <w:tc>
          <w:tcPr/>
          <w:p>
            <w:pPr>
              <w:pStyle w:val="Compact"/>
            </w:pPr>
            <w:r>
              <w:t xml:space="preserve">Net interest income</w:t>
            </w:r>
          </w:p>
        </w:tc>
        <w:tc>
          <w:tcPr/>
          <w:p>
            <w:pPr>
              <w:pStyle w:val="Compact"/>
              <w:jc w:val="right"/>
            </w:pPr>
            <m:oMath>
              <m:r>
                <m:t>2.20</m:t>
              </m:r>
              <m:r>
                <m:t>B</m:t>
              </m:r>
              <m:r>
                <m:rPr>
                  <m:sty m:val="p"/>
                </m:rPr>
                <m:t>–</m:t>
              </m:r>
            </m:oMath>
            <w:r>
              <w:rPr>
                <w:b/>
                <w:bCs/>
              </w:rPr>
              <w:t xml:space="preserve">2.25B</w:t>
            </w:r>
          </w:p>
        </w:tc>
        <w:tc>
          <w:tcPr/>
          <w:p>
            <w:pPr>
              <w:pStyle w:val="Compact"/>
            </w:pPr>
            <w:r>
              <w:t xml:space="preserve">Full-quarter Comerica contribution and funding costs</w:t>
            </w:r>
          </w:p>
        </w:tc>
      </w:tr>
      <w:tr>
        <w:tc>
          <w:tcPr/>
          <w:p>
            <w:pPr>
              <w:pStyle w:val="Compact"/>
            </w:pPr>
            <w:r>
              <w:t xml:space="preserve">Net interest margin</w:t>
            </w:r>
          </w:p>
        </w:tc>
        <w:tc>
          <w:tcPr/>
          <w:p>
            <w:pPr>
              <w:pStyle w:val="Compact"/>
              <w:jc w:val="right"/>
            </w:pPr>
            <w:r>
              <w:rPr>
                <w:b/>
                <w:bCs/>
              </w:rPr>
              <w:t xml:space="preserve">Up 3–5 bps</w:t>
            </w:r>
          </w:p>
        </w:tc>
        <w:tc>
          <w:tcPr/>
          <w:p>
            <w:pPr>
              <w:pStyle w:val="Compact"/>
            </w:pPr>
            <w:r>
              <w:t xml:space="preserve">Implies roughly</w:t>
            </w:r>
            <w:r>
              <w:t xml:space="preserve"> </w:t>
            </w:r>
            <w:r>
              <w:rPr>
                <w:b/>
                <w:bCs/>
              </w:rPr>
              <w:t xml:space="preserve">3.33%–3.35%</w:t>
            </w:r>
            <w:r>
              <w:t xml:space="preserve">, versus 3.30% in 1Q</w:t>
            </w:r>
          </w:p>
        </w:tc>
      </w:tr>
      <w:tr>
        <w:tc>
          <w:tcPr/>
          <w:p>
            <w:pPr>
              <w:pStyle w:val="Compact"/>
            </w:pPr>
            <w:r>
              <w:t xml:space="preserve">Noninterest income</w:t>
            </w:r>
          </w:p>
        </w:tc>
        <w:tc>
          <w:tcPr/>
          <w:p>
            <w:pPr>
              <w:pStyle w:val="Compact"/>
              <w:jc w:val="right"/>
            </w:pPr>
            <m:oMath>
              <m:r>
                <m:t>1.00</m:t>
              </m:r>
              <m:r>
                <m:t>B</m:t>
              </m:r>
              <m:r>
                <m:rPr>
                  <m:sty m:val="p"/>
                </m:rPr>
                <m:t>–</m:t>
              </m:r>
            </m:oMath>
            <w:r>
              <w:rPr>
                <w:b/>
                <w:bCs/>
              </w:rPr>
              <w:t xml:space="preserve">1.06B</w:t>
            </w:r>
          </w:p>
        </w:tc>
        <w:tc>
          <w:tcPr/>
          <w:p>
            <w:pPr>
              <w:pStyle w:val="Compact"/>
            </w:pPr>
            <w:r>
              <w:t xml:space="preserve">Payments, wealth and capital markets</w:t>
            </w:r>
          </w:p>
        </w:tc>
      </w:tr>
      <w:tr>
        <w:tc>
          <w:tcPr/>
          <w:p>
            <w:pPr>
              <w:pStyle w:val="Compact"/>
            </w:pPr>
            <w:r>
              <w:t xml:space="preserve">Adjusted noninterest expense</w:t>
            </w:r>
          </w:p>
        </w:tc>
        <w:tc>
          <w:tcPr/>
          <w:p>
            <w:pPr>
              <w:pStyle w:val="Compact"/>
              <w:jc w:val="right"/>
            </w:pPr>
            <m:oMath>
              <m:r>
                <m:t>1.87</m:t>
              </m:r>
              <m:r>
                <m:t>B</m:t>
              </m:r>
              <m:r>
                <m:rPr>
                  <m:sty m:val="p"/>
                </m:rPr>
                <m:t>–</m:t>
              </m:r>
            </m:oMath>
            <w:r>
              <w:rPr>
                <w:b/>
                <w:bCs/>
              </w:rPr>
              <w:t xml:space="preserve">1.89B</w:t>
            </w:r>
          </w:p>
        </w:tc>
        <w:tc>
          <w:tcPr/>
          <w:p>
            <w:pPr>
              <w:pStyle w:val="Compact"/>
            </w:pPr>
            <w:r>
              <w:t xml:space="preserve">June commentary suggested the low end</w:t>
            </w:r>
          </w:p>
        </w:tc>
      </w:tr>
      <w:tr>
        <w:tc>
          <w:tcPr/>
          <w:p>
            <w:pPr>
              <w:pStyle w:val="Compact"/>
            </w:pPr>
            <w:r>
              <w:t xml:space="preserve">Net charge-offs</w:t>
            </w:r>
          </w:p>
        </w:tc>
        <w:tc>
          <w:tcPr/>
          <w:p>
            <w:pPr>
              <w:pStyle w:val="Compact"/>
              <w:jc w:val="right"/>
            </w:pPr>
            <w:r>
              <w:rPr>
                <w:b/>
                <w:bCs/>
              </w:rPr>
              <w:t xml:space="preserve">30–35 bps</w:t>
            </w:r>
          </w:p>
        </w:tc>
        <w:tc>
          <w:tcPr/>
          <w:p>
            <w:pPr>
              <w:pStyle w:val="Compact"/>
            </w:pPr>
            <w:r>
              <w:t xml:space="preserve">June commentary suggested the low end</w:t>
            </w:r>
          </w:p>
        </w:tc>
      </w:tr>
    </w:tbl>
    <w:p>
      <w:pPr>
        <w:pStyle w:val="BodyText"/>
      </w:pPr>
      <w:r>
        <w:t xml:space="preserve">A rough midpoint bridge using this guidance implies</w:t>
      </w:r>
      <w:r>
        <w:t xml:space="preserve"> </w:t>
      </w:r>
      <w:r>
        <w:rPr>
          <w:b/>
          <w:bCs/>
        </w:rPr>
        <w:t xml:space="preserve">adjusted EPS around $1.04</w:t>
      </w:r>
      <w:r>
        <w:t xml:space="preserve">, subject to the provision, tax rate, preferred dividends, and diluted share count. Reported GAAP EPS could be substantially different because merger and integration charges remain significant.</w:t>
      </w:r>
    </w:p>
    <w:p>
      <w:pPr>
        <w:pStyle w:val="BodyText"/>
      </w:pPr>
      <w:r>
        <w:t xml:space="preserve">FITB also disclosed that it would recognize</w:t>
      </w:r>
      <w:r>
        <w:t xml:space="preserve"> </w:t>
      </w:r>
      <w:r>
        <w:rPr>
          <w:b/>
          <w:bCs/>
        </w:rPr>
        <w:t xml:space="preserve">less than $10 million of securities losses</w:t>
      </w:r>
      <w:r>
        <w:t xml:space="preserve"> </w:t>
      </w:r>
      <w:r>
        <w:t xml:space="preserve">in the quarter after repositioning several billion dollars of securities into assets yielding more than 100 basis points above prior expectations. Management estimated a three- to four-month earn-back period, making the action economically positive despite the immediate fee-line drag.</w:t>
      </w:r>
    </w:p>
    <w:p>
      <w:r>
        <w:pict>
          <v:rect style="width:0;height:1.5pt" o:hralign="center" o:hrstd="t" o:hr="t"/>
        </w:pict>
      </w:r>
    </w:p>
    <w:bookmarkEnd w:id="10"/>
    <w:bookmarkStart w:id="12" w:name="X5de698feb1162a71be43c9c69a7e4d8c702676d"/>
    <w:p>
      <w:pPr>
        <w:pStyle w:val="Heading2"/>
      </w:pPr>
      <w:r>
        <w:t xml:space="preserve">1. Comerica integration is the central issue</w:t>
      </w:r>
    </w:p>
    <w:p>
      <w:pPr>
        <w:pStyle w:val="FirstParagraph"/>
      </w:pPr>
      <w:r>
        <w:t xml:space="preserve">Fifth Third closed the approximately $12.7 billion Comerica acquisition on February 1. The first quarter included only two months of Comerica activity; the second quarter is the first clean quarter with a full three months of the combined company.</w:t>
      </w:r>
    </w:p>
    <w:p>
      <w:pPr>
        <w:pStyle w:val="BodyText"/>
      </w:pPr>
      <w:r>
        <w:t xml:space="preserve">The key commitments are:</w:t>
      </w:r>
    </w:p>
    <w:p>
      <w:pPr>
        <w:pStyle w:val="Compact"/>
        <w:numPr>
          <w:ilvl w:val="0"/>
          <w:numId w:val="1002"/>
        </w:numPr>
      </w:pPr>
      <w:r>
        <w:rPr>
          <w:b/>
          <w:bCs/>
        </w:rPr>
        <w:t xml:space="preserve">$360 million of net cost savings during 2026</w:t>
      </w:r>
    </w:p>
    <w:p>
      <w:pPr>
        <w:pStyle w:val="Compact"/>
        <w:numPr>
          <w:ilvl w:val="0"/>
          <w:numId w:val="1002"/>
        </w:numPr>
      </w:pPr>
      <w:r>
        <w:rPr>
          <w:b/>
          <w:bCs/>
        </w:rPr>
        <w:t xml:space="preserve">$850 million annualized cost-saving run rate by 4Q26</w:t>
      </w:r>
    </w:p>
    <w:p>
      <w:pPr>
        <w:pStyle w:val="Compact"/>
        <w:numPr>
          <w:ilvl w:val="0"/>
          <w:numId w:val="1002"/>
        </w:numPr>
      </w:pPr>
      <w:r>
        <w:t xml:space="preserve">Full systems conversion over</w:t>
      </w:r>
      <w:r>
        <w:t xml:space="preserve"> </w:t>
      </w:r>
      <w:r>
        <w:rPr>
          <w:b/>
          <w:bCs/>
        </w:rPr>
        <w:t xml:space="preserve">Labor Day weekend</w:t>
      </w:r>
    </w:p>
    <w:p>
      <w:pPr>
        <w:pStyle w:val="Compact"/>
        <w:numPr>
          <w:ilvl w:val="0"/>
          <w:numId w:val="1002"/>
        </w:numPr>
      </w:pPr>
      <w:r>
        <w:t xml:space="preserve">Exit 2026 near the profitability and efficiency levels targeted for 2027</w:t>
      </w:r>
    </w:p>
    <w:p>
      <w:pPr>
        <w:pStyle w:val="Compact"/>
        <w:numPr>
          <w:ilvl w:val="0"/>
          <w:numId w:val="1002"/>
        </w:numPr>
      </w:pPr>
      <w:r>
        <w:t xml:space="preserve">Approximately</w:t>
      </w:r>
      <w:r>
        <w:t xml:space="preserve"> </w:t>
      </w:r>
      <w:r>
        <w:rPr>
          <w:b/>
          <w:bCs/>
        </w:rPr>
        <w:t xml:space="preserve">53% efficiency ratio in 2027</w:t>
      </w:r>
      <w:r>
        <w:t xml:space="preserve">, with 4Q26 expected to run below that level</w:t>
      </w:r>
    </w:p>
    <w:p>
      <w:pPr>
        <w:pStyle w:val="FirstParagraph"/>
      </w:pPr>
      <w:r>
        <w:t xml:space="preserve">At the June conference, management said the first full mock conversion went well and generated the expected lessons around customer data, system sequencing and new product capabilities. Two additional mock conversions were still planned.</w:t>
      </w:r>
    </w:p>
    <w:bookmarkStart w:id="11" w:name="what-would-constitute-a-positive-update"/>
    <w:p>
      <w:pPr>
        <w:pStyle w:val="Heading3"/>
      </w:pPr>
      <w:r>
        <w:t xml:space="preserve">What would constitute a positive update?</w:t>
      </w:r>
    </w:p>
    <w:p>
      <w:pPr>
        <w:pStyle w:val="Compact"/>
        <w:numPr>
          <w:ilvl w:val="0"/>
          <w:numId w:val="1003"/>
        </w:numPr>
      </w:pPr>
      <w:r>
        <w:t xml:space="preserve">Reaffirmation of the Labor Day conversion date.</w:t>
      </w:r>
    </w:p>
    <w:p>
      <w:pPr>
        <w:pStyle w:val="Compact"/>
        <w:numPr>
          <w:ilvl w:val="0"/>
          <w:numId w:val="1003"/>
        </w:numPr>
      </w:pPr>
      <w:r>
        <w:t xml:space="preserve">No increase in expected integration costs or customer attrition.</w:t>
      </w:r>
    </w:p>
    <w:p>
      <w:pPr>
        <w:pStyle w:val="Compact"/>
        <w:numPr>
          <w:ilvl w:val="0"/>
          <w:numId w:val="1003"/>
        </w:numPr>
      </w:pPr>
      <w:r>
        <w:t xml:space="preserve">Continued confidence in reaching the $850 million fourth-quarter run rate.</w:t>
      </w:r>
    </w:p>
    <w:p>
      <w:pPr>
        <w:pStyle w:val="Compact"/>
        <w:numPr>
          <w:ilvl w:val="0"/>
          <w:numId w:val="1003"/>
        </w:numPr>
      </w:pPr>
      <w:r>
        <w:t xml:space="preserve">Evidence that cost savings are being realized before the major post-conversion step-up.</w:t>
      </w:r>
    </w:p>
    <w:p>
      <w:pPr>
        <w:pStyle w:val="Compact"/>
        <w:numPr>
          <w:ilvl w:val="0"/>
          <w:numId w:val="1003"/>
        </w:numPr>
      </w:pPr>
      <w:r>
        <w:t xml:space="preserve">Stable employee and commercial-client retention.</w:t>
      </w:r>
    </w:p>
    <w:p>
      <w:pPr>
        <w:pStyle w:val="FirstParagraph"/>
      </w:pPr>
      <w:r>
        <w:t xml:space="preserve">Management has indicated that savings above the $850 million target may be reinvested in branches, marketing and digital growth. Strategically, that could improve long-term growth, but investors should not assume every dollar of cost outperformance will fall directly to near-term earnings.</w:t>
      </w:r>
    </w:p>
    <w:p>
      <w:r>
        <w:pict>
          <v:rect style="width:0;height:1.5pt" o:hralign="center" o:hrstd="t" o:hr="t"/>
        </w:pict>
      </w:r>
    </w:p>
    <w:bookmarkEnd w:id="11"/>
    <w:bookmarkEnd w:id="12"/>
    <w:bookmarkStart w:id="14" w:name="Xc060d4b95702df42f563a9d14979a73e408fdb7"/>
    <w:p>
      <w:pPr>
        <w:pStyle w:val="Heading2"/>
      </w:pPr>
      <w:r>
        <w:t xml:space="preserve">2. Net interest income should be the cleanest source of strength</w:t>
      </w:r>
    </w:p>
    <w:p>
      <w:pPr>
        <w:pStyle w:val="FirstParagraph"/>
      </w:pPr>
      <w:r>
        <w:t xml:space="preserve">First-quarter net interest income was $1.94 billion and NIM was 3.30%, up 17 basis points sequentially. The second quarter should benefit from:</w:t>
      </w:r>
    </w:p>
    <w:p>
      <w:pPr>
        <w:pStyle w:val="Compact"/>
        <w:numPr>
          <w:ilvl w:val="0"/>
          <w:numId w:val="1004"/>
        </w:numPr>
      </w:pPr>
      <w:r>
        <w:t xml:space="preserve">A full quarter of Comerica earning assets.</w:t>
      </w:r>
    </w:p>
    <w:p>
      <w:pPr>
        <w:pStyle w:val="Compact"/>
        <w:numPr>
          <w:ilvl w:val="0"/>
          <w:numId w:val="1004"/>
        </w:numPr>
      </w:pPr>
      <w:r>
        <w:t xml:space="preserve">A full quarter of purchase-accounting benefits.</w:t>
      </w:r>
    </w:p>
    <w:p>
      <w:pPr>
        <w:pStyle w:val="Compact"/>
        <w:numPr>
          <w:ilvl w:val="0"/>
          <w:numId w:val="1004"/>
        </w:numPr>
      </w:pPr>
      <w:r>
        <w:t xml:space="preserve">Lower-cost Comerica commercial deposits.</w:t>
      </w:r>
    </w:p>
    <w:p>
      <w:pPr>
        <w:pStyle w:val="Compact"/>
        <w:numPr>
          <w:ilvl w:val="0"/>
          <w:numId w:val="1004"/>
        </w:numPr>
      </w:pPr>
      <w:r>
        <w:t xml:space="preserve">Fixed-rate asset repricing.</w:t>
      </w:r>
    </w:p>
    <w:p>
      <w:pPr>
        <w:pStyle w:val="Compact"/>
        <w:numPr>
          <w:ilvl w:val="0"/>
          <w:numId w:val="1004"/>
        </w:numPr>
      </w:pPr>
      <w:r>
        <w:t xml:space="preserve">Recent securities repositioning.</w:t>
      </w:r>
    </w:p>
    <w:p>
      <w:pPr>
        <w:pStyle w:val="Compact"/>
        <w:numPr>
          <w:ilvl w:val="0"/>
          <w:numId w:val="1004"/>
        </w:numPr>
      </w:pPr>
      <w:r>
        <w:t xml:space="preserve">An asset-sensitive balance sheet in a higher-for-longer rate environment.</w:t>
      </w:r>
    </w:p>
    <w:p>
      <w:pPr>
        <w:pStyle w:val="FirstParagraph"/>
      </w:pPr>
      <w:r>
        <w:t xml:space="preserve">Purchase-accounting accretion from acquired loans was approximately $12 million in the first quarter and was expected to increase to the mid-teens in the second quarter.</w:t>
      </w:r>
    </w:p>
    <w:p>
      <w:pPr>
        <w:pStyle w:val="BodyText"/>
      </w:pPr>
      <w:r>
        <w:t xml:space="preserve">Management remained confident in June that NIM can exit 2026 near</w:t>
      </w:r>
      <w:r>
        <w:t xml:space="preserve"> </w:t>
      </w:r>
      <w:r>
        <w:rPr>
          <w:b/>
          <w:bCs/>
        </w:rPr>
        <w:t xml:space="preserve">3.40%</w:t>
      </w:r>
      <w:r>
        <w:t xml:space="preserve">. That trajectory is more important than a small variation in the second-quarter result.</w:t>
      </w:r>
    </w:p>
    <w:bookmarkStart w:id="13" w:name="main-questions"/>
    <w:p>
      <w:pPr>
        <w:pStyle w:val="Heading3"/>
      </w:pPr>
      <w:r>
        <w:t xml:space="preserve">Main questions</w:t>
      </w:r>
    </w:p>
    <w:p>
      <w:pPr>
        <w:pStyle w:val="Compact"/>
        <w:numPr>
          <w:ilvl w:val="0"/>
          <w:numId w:val="1005"/>
        </w:numPr>
      </w:pPr>
      <w:r>
        <w:t xml:space="preserve">Did NIM reach at least the 3.33%–3.35% guided range?</w:t>
      </w:r>
    </w:p>
    <w:p>
      <w:pPr>
        <w:pStyle w:val="Compact"/>
        <w:numPr>
          <w:ilvl w:val="0"/>
          <w:numId w:val="1005"/>
        </w:numPr>
      </w:pPr>
      <w:r>
        <w:t xml:space="preserve">Are deposit costs still stable despite strong loan growth?</w:t>
      </w:r>
    </w:p>
    <w:p>
      <w:pPr>
        <w:pStyle w:val="Compact"/>
        <w:numPr>
          <w:ilvl w:val="0"/>
          <w:numId w:val="1005"/>
        </w:numPr>
      </w:pPr>
      <w:r>
        <w:t xml:space="preserve">How much benefit from the recent securities repositioning is embedded in the second half?</w:t>
      </w:r>
    </w:p>
    <w:p>
      <w:pPr>
        <w:pStyle w:val="Compact"/>
        <w:numPr>
          <w:ilvl w:val="0"/>
          <w:numId w:val="1005"/>
        </w:numPr>
      </w:pPr>
      <w:r>
        <w:t xml:space="preserve">Has the changing rate outlook altered the full-year NII forecast?</w:t>
      </w:r>
    </w:p>
    <w:p>
      <w:pPr>
        <w:pStyle w:val="Compact"/>
        <w:numPr>
          <w:ilvl w:val="0"/>
          <w:numId w:val="1005"/>
        </w:numPr>
      </w:pPr>
      <w:r>
        <w:t xml:space="preserve">How quickly does management intend to reduce the combined company’s asset sensitivity?</w:t>
      </w:r>
    </w:p>
    <w:p>
      <w:pPr>
        <w:pStyle w:val="FirstParagraph"/>
      </w:pPr>
      <w:r>
        <w:t xml:space="preserve">The first-quarter full-year NII forecast was</w:t>
      </w:r>
      <w:r>
        <w:t xml:space="preserve"> </w:t>
      </w:r>
      <m:oMath>
        <m:r>
          <m:t>8.7</m:t>
        </m:r>
        <m:r>
          <m:t>b</m:t>
        </m:r>
        <m:r>
          <m:t>i</m:t>
        </m:r>
        <m:r>
          <m:t>l</m:t>
        </m:r>
        <m:r>
          <m:t>l</m:t>
        </m:r>
        <m:r>
          <m:t>i</m:t>
        </m:r>
        <m:r>
          <m:t>o</m:t>
        </m:r>
        <m:r>
          <m:t>n</m:t>
        </m:r>
        <m:r>
          <m:rPr>
            <m:sty m:val="p"/>
          </m:rPr>
          <m:t>–</m:t>
        </m:r>
      </m:oMath>
      <w:r>
        <w:rPr>
          <w:b/>
          <w:bCs/>
        </w:rPr>
        <w:t xml:space="preserve">8.8 billion</w:t>
      </w:r>
      <w:r>
        <w:t xml:space="preserve">. Given June’s favorable update, maintaining that range may be viewed as conservative unless management identifies new funding or balance-sheet headwinds.</w:t>
      </w:r>
    </w:p>
    <w:p>
      <w:r>
        <w:pict>
          <v:rect style="width:0;height:1.5pt" o:hralign="center" o:hrstd="t" o:hr="t"/>
        </w:pict>
      </w:r>
    </w:p>
    <w:bookmarkEnd w:id="13"/>
    <w:bookmarkEnd w:id="14"/>
    <w:bookmarkStart w:id="15" w:name="Xbaaed5fc8d093f586966de6348c788857f1c9bb"/>
    <w:p>
      <w:pPr>
        <w:pStyle w:val="Heading2"/>
      </w:pPr>
      <w:r>
        <w:t xml:space="preserve">3. Deposit performance may matter more than loan growth</w:t>
      </w:r>
    </w:p>
    <w:p>
      <w:pPr>
        <w:pStyle w:val="FirstParagraph"/>
      </w:pPr>
      <w:r>
        <w:t xml:space="preserve">FITB’s deposit franchise is a central part of the merger thesis. At March 31:</w:t>
      </w:r>
    </w:p>
    <w:p>
      <w:pPr>
        <w:pStyle w:val="Compact"/>
        <w:numPr>
          <w:ilvl w:val="0"/>
          <w:numId w:val="1006"/>
        </w:numPr>
      </w:pPr>
      <w:r>
        <w:t xml:space="preserve">Period-end deposits were approximately</w:t>
      </w:r>
      <w:r>
        <w:t xml:space="preserve"> </w:t>
      </w:r>
      <w:r>
        <w:rPr>
          <w:b/>
          <w:bCs/>
        </w:rPr>
        <w:t xml:space="preserve">$234 billion</w:t>
      </w:r>
      <w:r>
        <w:t xml:space="preserve">.</w:t>
      </w:r>
    </w:p>
    <w:p>
      <w:pPr>
        <w:pStyle w:val="Compact"/>
        <w:numPr>
          <w:ilvl w:val="0"/>
          <w:numId w:val="1006"/>
        </w:numPr>
      </w:pPr>
      <w:r>
        <w:t xml:space="preserve">Noninterest-bearing deposits were</w:t>
      </w:r>
      <w:r>
        <w:t xml:space="preserve"> </w:t>
      </w:r>
      <w:r>
        <w:rPr>
          <w:b/>
          <w:bCs/>
        </w:rPr>
        <w:t xml:space="preserve">28% of core deposits</w:t>
      </w:r>
      <w:r>
        <w:t xml:space="preserve">.</w:t>
      </w:r>
    </w:p>
    <w:p>
      <w:pPr>
        <w:pStyle w:val="Compact"/>
        <w:numPr>
          <w:ilvl w:val="0"/>
          <w:numId w:val="1006"/>
        </w:numPr>
      </w:pPr>
      <w:r>
        <w:t xml:space="preserve">Total deposit costs were</w:t>
      </w:r>
      <w:r>
        <w:t xml:space="preserve"> </w:t>
      </w:r>
      <w:r>
        <w:rPr>
          <w:b/>
          <w:bCs/>
        </w:rPr>
        <w:t xml:space="preserve">1.58%</w:t>
      </w:r>
      <w:r>
        <w:t xml:space="preserve">.</w:t>
      </w:r>
    </w:p>
    <w:p>
      <w:pPr>
        <w:pStyle w:val="Compact"/>
        <w:numPr>
          <w:ilvl w:val="0"/>
          <w:numId w:val="1006"/>
        </w:numPr>
      </w:pPr>
      <w:r>
        <w:t xml:space="preserve">Interest-bearing deposit costs were</w:t>
      </w:r>
      <w:r>
        <w:t xml:space="preserve"> </w:t>
      </w:r>
      <w:r>
        <w:rPr>
          <w:b/>
          <w:bCs/>
        </w:rPr>
        <w:t xml:space="preserve">2.15%</w:t>
      </w:r>
      <w:r>
        <w:t xml:space="preserve">.</w:t>
      </w:r>
    </w:p>
    <w:p>
      <w:pPr>
        <w:pStyle w:val="Compact"/>
        <w:numPr>
          <w:ilvl w:val="0"/>
          <w:numId w:val="1006"/>
        </w:numPr>
      </w:pPr>
      <w:r>
        <w:t xml:space="preserve">The loan-to-core-deposit ratio was</w:t>
      </w:r>
      <w:r>
        <w:t xml:space="preserve"> </w:t>
      </w:r>
      <w:r>
        <w:rPr>
          <w:b/>
          <w:bCs/>
        </w:rPr>
        <w:t xml:space="preserve">76%</w:t>
      </w:r>
      <w:r>
        <w:t xml:space="preserve">.</w:t>
      </w:r>
    </w:p>
    <w:p>
      <w:pPr>
        <w:pStyle w:val="FirstParagraph"/>
      </w:pPr>
      <w:r>
        <w:t xml:space="preserve">The most notable intra-quarter update was that Comerica-market deposit campaigns were expected to generate</w:t>
      </w:r>
      <w:r>
        <w:t xml:space="preserve"> </w:t>
      </w:r>
      <w:r>
        <w:rPr>
          <w:b/>
          <w:bCs/>
        </w:rPr>
        <w:t xml:space="preserve">$2 billion of deposits by June 30</w:t>
      </w:r>
      <w:r>
        <w:t xml:space="preserve">, double management’s earlier $1 billion expectation. This occurred before Comerica customers had access to Fifth Third’s full digital account-opening and product capabilities.</w:t>
      </w:r>
    </w:p>
    <w:p>
      <w:pPr>
        <w:pStyle w:val="BodyText"/>
      </w:pPr>
      <w:r>
        <w:t xml:space="preserve">A strong deposit result would support three elements of the thesis simultaneously: NIM, organic loan growth and the planned expansion in Texas and other Southwest markets.</w:t>
      </w:r>
    </w:p>
    <w:p>
      <w:pPr>
        <w:pStyle w:val="BodyText"/>
      </w:pPr>
      <w:r>
        <w:t xml:space="preserve">Investors should examine:</w:t>
      </w:r>
    </w:p>
    <w:p>
      <w:pPr>
        <w:pStyle w:val="Compact"/>
        <w:numPr>
          <w:ilvl w:val="0"/>
          <w:numId w:val="1007"/>
        </w:numPr>
      </w:pPr>
      <w:r>
        <w:t xml:space="preserve">Period-end versus average deposit growth.</w:t>
      </w:r>
    </w:p>
    <w:p>
      <w:pPr>
        <w:pStyle w:val="Compact"/>
        <w:numPr>
          <w:ilvl w:val="0"/>
          <w:numId w:val="1007"/>
        </w:numPr>
      </w:pPr>
      <w:r>
        <w:t xml:space="preserve">The cost of the $2 billion promotional inflow.</w:t>
      </w:r>
    </w:p>
    <w:p>
      <w:pPr>
        <w:pStyle w:val="Compact"/>
        <w:numPr>
          <w:ilvl w:val="0"/>
          <w:numId w:val="1007"/>
        </w:numPr>
      </w:pPr>
      <w:r>
        <w:t xml:space="preserve">Retention and cross-sell expectations after promotional periods end.</w:t>
      </w:r>
    </w:p>
    <w:p>
      <w:pPr>
        <w:pStyle w:val="Compact"/>
        <w:numPr>
          <w:ilvl w:val="0"/>
          <w:numId w:val="1007"/>
        </w:numPr>
      </w:pPr>
      <w:r>
        <w:t xml:space="preserve">Changes in noninterest-bearing deposit mix.</w:t>
      </w:r>
    </w:p>
    <w:p>
      <w:pPr>
        <w:pStyle w:val="Compact"/>
        <w:numPr>
          <w:ilvl w:val="0"/>
          <w:numId w:val="1007"/>
        </w:numPr>
      </w:pPr>
      <w:r>
        <w:t xml:space="preserve">Commercial deposit retention ahead of the systems conversion.</w:t>
      </w:r>
    </w:p>
    <w:p>
      <w:pPr>
        <w:pStyle w:val="Compact"/>
        <w:numPr>
          <w:ilvl w:val="0"/>
          <w:numId w:val="1007"/>
        </w:numPr>
      </w:pPr>
      <w:r>
        <w:t xml:space="preserve">Whether management still sees roughly $20 billion of long-term deposit potential from its Southeast and Southwest branch expansion.</w:t>
      </w:r>
    </w:p>
    <w:p>
      <w:r>
        <w:pict>
          <v:rect style="width:0;height:1.5pt" o:hralign="center" o:hrstd="t" o:hr="t"/>
        </w:pict>
      </w:r>
    </w:p>
    <w:bookmarkEnd w:id="15"/>
    <w:bookmarkStart w:id="16" w:name="X696a4db89012dda80edca43e320cc3297936f8f"/>
    <w:p>
      <w:pPr>
        <w:pStyle w:val="Heading2"/>
      </w:pPr>
      <w:r>
        <w:t xml:space="preserve">4. Loan growth looks healthy, but spreads bear watching</w:t>
      </w:r>
    </w:p>
    <w:p>
      <w:pPr>
        <w:pStyle w:val="FirstParagraph"/>
      </w:pPr>
      <w:r>
        <w:t xml:space="preserve">Management guided to average loans of</w:t>
      </w:r>
      <w:r>
        <w:t xml:space="preserve"> </w:t>
      </w:r>
      <m:oMath>
        <m:r>
          <m:t>178</m:t>
        </m:r>
        <m:r>
          <m:t>b</m:t>
        </m:r>
        <m:r>
          <m:t>i</m:t>
        </m:r>
        <m:r>
          <m:t>l</m:t>
        </m:r>
        <m:r>
          <m:t>l</m:t>
        </m:r>
        <m:r>
          <m:t>i</m:t>
        </m:r>
        <m:r>
          <m:t>o</m:t>
        </m:r>
        <m:r>
          <m:t>n</m:t>
        </m:r>
        <m:r>
          <m:rPr>
            <m:sty m:val="p"/>
          </m:rPr>
          <m:t>–</m:t>
        </m:r>
      </m:oMath>
      <w:r>
        <w:t xml:space="preserve">179 billion. In June, it described loan demand as broad-based, including:</w:t>
      </w:r>
    </w:p>
    <w:p>
      <w:pPr>
        <w:pStyle w:val="Compact"/>
        <w:numPr>
          <w:ilvl w:val="0"/>
          <w:numId w:val="1008"/>
        </w:numPr>
      </w:pPr>
      <w:r>
        <w:t xml:space="preserve">Working capital needs.</w:t>
      </w:r>
    </w:p>
    <w:p>
      <w:pPr>
        <w:pStyle w:val="Compact"/>
        <w:numPr>
          <w:ilvl w:val="0"/>
          <w:numId w:val="1008"/>
        </w:numPr>
      </w:pPr>
      <w:r>
        <w:t xml:space="preserve">Business capital expenditures.</w:t>
      </w:r>
    </w:p>
    <w:p>
      <w:pPr>
        <w:pStyle w:val="Compact"/>
        <w:numPr>
          <w:ilvl w:val="0"/>
          <w:numId w:val="1008"/>
        </w:numPr>
      </w:pPr>
      <w:r>
        <w:t xml:space="preserve">Strategic M&amp;A.</w:t>
      </w:r>
    </w:p>
    <w:p>
      <w:pPr>
        <w:pStyle w:val="Compact"/>
        <w:numPr>
          <w:ilvl w:val="0"/>
          <w:numId w:val="1008"/>
        </w:numPr>
      </w:pPr>
      <w:r>
        <w:t xml:space="preserve">C&amp;I line utilization.</w:t>
      </w:r>
    </w:p>
    <w:p>
      <w:pPr>
        <w:pStyle w:val="Compact"/>
        <w:numPr>
          <w:ilvl w:val="0"/>
          <w:numId w:val="1008"/>
        </w:numPr>
      </w:pPr>
      <w:r>
        <w:t xml:space="preserve">Home equity.</w:t>
      </w:r>
    </w:p>
    <w:p>
      <w:pPr>
        <w:pStyle w:val="Compact"/>
        <w:numPr>
          <w:ilvl w:val="0"/>
          <w:numId w:val="1008"/>
        </w:numPr>
      </w:pPr>
      <w:r>
        <w:t xml:space="preserve">Indirect auto.</w:t>
      </w:r>
    </w:p>
    <w:p>
      <w:pPr>
        <w:pStyle w:val="Compact"/>
        <w:numPr>
          <w:ilvl w:val="0"/>
          <w:numId w:val="1008"/>
        </w:numPr>
      </w:pPr>
      <w:r>
        <w:t xml:space="preserve">Comerica specialty businesses.</w:t>
      </w:r>
    </w:p>
    <w:p>
      <w:pPr>
        <w:pStyle w:val="FirstParagraph"/>
      </w:pPr>
      <w:r>
        <w:t xml:space="preserve">Commercial utilization was slightly above its first-quarter starting point, and clients appeared increasingly willing to invest despite macroeconomic volatility.</w:t>
      </w:r>
    </w:p>
    <w:p>
      <w:pPr>
        <w:pStyle w:val="BodyText"/>
      </w:pPr>
      <w:r>
        <w:t xml:space="preserve">The principal concern is</w:t>
      </w:r>
      <w:r>
        <w:t xml:space="preserve"> </w:t>
      </w:r>
      <w:r>
        <w:rPr>
          <w:b/>
          <w:bCs/>
        </w:rPr>
        <w:t xml:space="preserve">mild C&amp;I spread compression</w:t>
      </w:r>
      <w:r>
        <w:t xml:space="preserve">. Management characterized competition as rational and said structures were holding up, but stronger demand has attracted pricing competition. Some compression also reflects a favorable mix shift toward higher-quality borrowers.</w:t>
      </w:r>
    </w:p>
    <w:p>
      <w:pPr>
        <w:pStyle w:val="BodyText"/>
      </w:pPr>
      <w:r>
        <w:t xml:space="preserve">A good quarter would pair loan growth with stable risk-adjusted returns. Growth obtained through sharply lower spreads or weaker structures would be less valuable, particularly with capital still being rebuilt following the merger.</w:t>
      </w:r>
    </w:p>
    <w:p>
      <w:r>
        <w:pict>
          <v:rect style="width:0;height:1.5pt" o:hralign="center" o:hrstd="t" o:hr="t"/>
        </w:pict>
      </w:r>
    </w:p>
    <w:bookmarkEnd w:id="16"/>
    <w:bookmarkStart w:id="17" w:name="Xa6b16a9f1d9701f89c0455d7f3facafe905537c"/>
    <w:p>
      <w:pPr>
        <w:pStyle w:val="Heading2"/>
      </w:pPr>
      <w:r>
        <w:t xml:space="preserve">5. Fee income should become a larger part of the story</w:t>
      </w:r>
    </w:p>
    <w:p>
      <w:pPr>
        <w:pStyle w:val="FirstParagraph"/>
      </w:pPr>
      <w:r>
        <w:t xml:space="preserve">Second-quarter noninterest income guidance is</w:t>
      </w:r>
      <w:r>
        <w:t xml:space="preserve"> </w:t>
      </w:r>
      <m:oMath>
        <m:r>
          <m:t>1.00</m:t>
        </m:r>
        <m:r>
          <m:t>b</m:t>
        </m:r>
        <m:r>
          <m:t>i</m:t>
        </m:r>
        <m:r>
          <m:t>l</m:t>
        </m:r>
        <m:r>
          <m:t>l</m:t>
        </m:r>
        <m:r>
          <m:t>i</m:t>
        </m:r>
        <m:r>
          <m:t>o</m:t>
        </m:r>
        <m:r>
          <m:t>n</m:t>
        </m:r>
        <m:r>
          <m:rPr>
            <m:sty m:val="p"/>
          </m:rPr>
          <m:t>–</m:t>
        </m:r>
      </m:oMath>
      <w:r>
        <w:t xml:space="preserve">1.06 billion, compared with adjusted first-quarter fee income of $921 million.</w:t>
      </w:r>
    </w:p>
    <w:p>
      <w:pPr>
        <w:pStyle w:val="BodyText"/>
      </w:pPr>
      <w:r>
        <w:t xml:space="preserve">The main contributors are:</w:t>
      </w:r>
    </w:p>
    <w:p>
      <w:pPr>
        <w:pStyle w:val="Compact"/>
        <w:numPr>
          <w:ilvl w:val="0"/>
          <w:numId w:val="1009"/>
        </w:numPr>
      </w:pPr>
      <w:r>
        <w:rPr>
          <w:b/>
          <w:bCs/>
        </w:rPr>
        <w:t xml:space="preserve">Commercial payments:</w:t>
      </w:r>
      <w:r>
        <w:t xml:space="preserve"> </w:t>
      </w:r>
      <w:r>
        <w:t xml:space="preserve">$218 million in 1Q; Newline revenue grew 30% year over year.</w:t>
      </w:r>
    </w:p>
    <w:p>
      <w:pPr>
        <w:pStyle w:val="Compact"/>
        <w:numPr>
          <w:ilvl w:val="0"/>
          <w:numId w:val="1009"/>
        </w:numPr>
      </w:pPr>
      <w:r>
        <w:rPr>
          <w:b/>
          <w:bCs/>
        </w:rPr>
        <w:t xml:space="preserve">Wealth and asset management:</w:t>
      </w:r>
      <w:r>
        <w:t xml:space="preserve"> </w:t>
      </w:r>
      <w:r>
        <w:t xml:space="preserve">$233 million in 1Q; combined AUM reached $119 billion.</w:t>
      </w:r>
    </w:p>
    <w:p>
      <w:pPr>
        <w:pStyle w:val="Compact"/>
        <w:numPr>
          <w:ilvl w:val="0"/>
          <w:numId w:val="1009"/>
        </w:numPr>
      </w:pPr>
      <w:r>
        <w:rPr>
          <w:b/>
          <w:bCs/>
        </w:rPr>
        <w:t xml:space="preserve">Capital markets:</w:t>
      </w:r>
      <w:r>
        <w:t xml:space="preserve"> </w:t>
      </w:r>
      <w:r>
        <w:t xml:space="preserve">$134 million in 1Q, supported by client hedging and underwriting.</w:t>
      </w:r>
    </w:p>
    <w:p>
      <w:pPr>
        <w:pStyle w:val="Compact"/>
        <w:numPr>
          <w:ilvl w:val="0"/>
          <w:numId w:val="1009"/>
        </w:numPr>
      </w:pPr>
      <w:r>
        <w:rPr>
          <w:b/>
          <w:bCs/>
        </w:rPr>
        <w:t xml:space="preserve">Direct Express:</w:t>
      </w:r>
      <w:r>
        <w:t xml:space="preserve"> </w:t>
      </w:r>
      <w:r>
        <w:t xml:space="preserve">contributed $14 million of first-quarter fees and $3.7 billion of March average deposits.</w:t>
      </w:r>
    </w:p>
    <w:p>
      <w:pPr>
        <w:pStyle w:val="Compact"/>
        <w:numPr>
          <w:ilvl w:val="0"/>
          <w:numId w:val="1009"/>
        </w:numPr>
      </w:pPr>
      <w:r>
        <w:t xml:space="preserve">Comerica product cross-selling in treasury management, asset-based lending, capital markets and wealth.</w:t>
      </w:r>
    </w:p>
    <w:p>
      <w:pPr>
        <w:pStyle w:val="FirstParagraph"/>
      </w:pPr>
      <w:r>
        <w:t xml:space="preserve">Both wealth and commercial payments had reached quarterly run rates consistent with approximately $1 billion of annual revenue each. That diversification reduces FITB’s dependence on spread income and is one of the more attractive aspects of the combined franchise.</w:t>
      </w:r>
    </w:p>
    <w:p>
      <w:pPr>
        <w:pStyle w:val="BodyText"/>
      </w:pPr>
      <w:r>
        <w:t xml:space="preserve">The reported fee result should be evaluated after adjusting for the disclosed securities loss. Investors should also ask whether capital-markets activity is recurring or primarily a product of unusually volatile commodity and foreign-exchange markets.</w:t>
      </w:r>
    </w:p>
    <w:p>
      <w:r>
        <w:pict>
          <v:rect style="width:0;height:1.5pt" o:hralign="center" o:hrstd="t" o:hr="t"/>
        </w:pict>
      </w:r>
    </w:p>
    <w:bookmarkEnd w:id="17"/>
    <w:bookmarkStart w:id="19" w:name="Xd56f9b4e4746739e325af6734954f57f93d5b33"/>
    <w:p>
      <w:pPr>
        <w:pStyle w:val="Heading2"/>
      </w:pPr>
      <w:r>
        <w:t xml:space="preserve">6. Credit should remain supportive—but there are specific watch items</w:t>
      </w:r>
    </w:p>
    <w:p>
      <w:pPr>
        <w:pStyle w:val="FirstParagraph"/>
      </w:pPr>
      <w:r>
        <w:t xml:space="preserve">First-quarter credit metrics were solid: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Credit metric</w:t>
            </w:r>
          </w:p>
        </w:tc>
        <w:tc>
          <w:tcPr/>
          <w:p>
            <w:pPr>
              <w:pStyle w:val="Compact"/>
              <w:jc w:val="right"/>
            </w:pPr>
            <w:r>
              <w:t xml:space="preserve">1Q26</w:t>
            </w:r>
          </w:p>
        </w:tc>
      </w:tr>
      <w:tr>
        <w:tc>
          <w:tcPr/>
          <w:p>
            <w:pPr>
              <w:pStyle w:val="Compact"/>
            </w:pPr>
            <w:r>
              <w:t xml:space="preserve">Net charge-off ratio</w:t>
            </w:r>
          </w:p>
        </w:tc>
        <w:tc>
          <w:tcPr/>
          <w:p>
            <w:pPr>
              <w:pStyle w:val="Compact"/>
              <w:jc w:val="right"/>
            </w:pPr>
            <w:r>
              <w:rPr>
                <w:b/>
                <w:bCs/>
              </w:rPr>
              <w:t xml:space="preserve">0.37%</w:t>
            </w:r>
          </w:p>
        </w:tc>
      </w:tr>
      <w:tr>
        <w:tc>
          <w:tcPr/>
          <w:p>
            <w:pPr>
              <w:pStyle w:val="Compact"/>
            </w:pPr>
            <w:r>
              <w:t xml:space="preserve">Commercial NCO ratio</w:t>
            </w:r>
          </w:p>
        </w:tc>
        <w:tc>
          <w:tcPr/>
          <w:p>
            <w:pPr>
              <w:pStyle w:val="Compact"/>
              <w:jc w:val="right"/>
            </w:pPr>
            <w:r>
              <w:rPr>
                <w:b/>
                <w:bCs/>
              </w:rPr>
              <w:t xml:space="preserve">0.26%</w:t>
            </w:r>
          </w:p>
        </w:tc>
      </w:tr>
      <w:tr>
        <w:tc>
          <w:tcPr/>
          <w:p>
            <w:pPr>
              <w:pStyle w:val="Compact"/>
            </w:pPr>
            <w:r>
              <w:t xml:space="preserve">Consumer NCO ratio</w:t>
            </w:r>
          </w:p>
        </w:tc>
        <w:tc>
          <w:tcPr/>
          <w:p>
            <w:pPr>
              <w:pStyle w:val="Compact"/>
              <w:jc w:val="right"/>
            </w:pPr>
            <w:r>
              <w:rPr>
                <w:b/>
                <w:bCs/>
              </w:rPr>
              <w:t xml:space="preserve">0.58%</w:t>
            </w:r>
          </w:p>
        </w:tc>
      </w:tr>
      <w:tr>
        <w:tc>
          <w:tcPr/>
          <w:p>
            <w:pPr>
              <w:pStyle w:val="Compact"/>
            </w:pPr>
            <w:r>
              <w:t xml:space="preserve">Nonperforming-asset ratio</w:t>
            </w:r>
          </w:p>
        </w:tc>
        <w:tc>
          <w:tcPr/>
          <w:p>
            <w:pPr>
              <w:pStyle w:val="Compact"/>
              <w:jc w:val="right"/>
            </w:pPr>
            <w:r>
              <w:rPr>
                <w:b/>
                <w:bCs/>
              </w:rPr>
              <w:t xml:space="preserve">0.57%</w:t>
            </w:r>
          </w:p>
        </w:tc>
      </w:tr>
      <w:tr>
        <w:tc>
          <w:tcPr/>
          <w:p>
            <w:pPr>
              <w:pStyle w:val="Compact"/>
            </w:pPr>
            <w:r>
              <w:t xml:space="preserve">ACL / portfolio loans</w:t>
            </w:r>
          </w:p>
        </w:tc>
        <w:tc>
          <w:tcPr/>
          <w:p>
            <w:pPr>
              <w:pStyle w:val="Compact"/>
              <w:jc w:val="right"/>
            </w:pPr>
            <w:r>
              <w:rPr>
                <w:b/>
                <w:bCs/>
              </w:rPr>
              <w:t xml:space="preserve">1.79%</w:t>
            </w:r>
          </w:p>
        </w:tc>
      </w:tr>
      <w:tr>
        <w:tc>
          <w:tcPr/>
          <w:p>
            <w:pPr>
              <w:pStyle w:val="Compact"/>
            </w:pPr>
            <w:r>
              <w:t xml:space="preserve">ACL / nonperforming assets</w:t>
            </w:r>
          </w:p>
        </w:tc>
        <w:tc>
          <w:tcPr/>
          <w:p>
            <w:pPr>
              <w:pStyle w:val="Compact"/>
              <w:jc w:val="right"/>
            </w:pPr>
            <w:r>
              <w:rPr>
                <w:b/>
                <w:bCs/>
              </w:rPr>
              <w:t xml:space="preserve">316%</w:t>
            </w:r>
          </w:p>
        </w:tc>
      </w:tr>
    </w:tbl>
    <w:p>
      <w:pPr>
        <w:pStyle w:val="BodyText"/>
      </w:pPr>
      <w:r>
        <w:t xml:space="preserve">In June, management indicated that second-quarter charge-offs were leaning toward the low end of the</w:t>
      </w:r>
      <w:r>
        <w:t xml:space="preserve"> </w:t>
      </w:r>
      <w:r>
        <w:rPr>
          <w:b/>
          <w:bCs/>
        </w:rPr>
        <w:t xml:space="preserve">30–35 basis point</w:t>
      </w:r>
      <w:r>
        <w:t xml:space="preserve"> </w:t>
      </w:r>
      <w:r>
        <w:t xml:space="preserve">guidance range. The full-year forecast remains</w:t>
      </w:r>
      <w:r>
        <w:t xml:space="preserve"> </w:t>
      </w:r>
      <w:r>
        <w:rPr>
          <w:b/>
          <w:bCs/>
        </w:rPr>
        <w:t xml:space="preserve">30–40 basis points</w:t>
      </w:r>
      <w:r>
        <w:t xml:space="preserve">.</w:t>
      </w:r>
    </w:p>
    <w:bookmarkStart w:id="18" w:name="areas-to-scrutinize"/>
    <w:p>
      <w:pPr>
        <w:pStyle w:val="Heading3"/>
      </w:pPr>
      <w:r>
        <w:t xml:space="preserve">Areas to scrutinize</w:t>
      </w:r>
    </w:p>
    <w:p>
      <w:pPr>
        <w:pStyle w:val="Compact"/>
        <w:numPr>
          <w:ilvl w:val="0"/>
          <w:numId w:val="1010"/>
        </w:numPr>
      </w:pPr>
      <w:r>
        <w:rPr>
          <w:b/>
          <w:bCs/>
        </w:rPr>
        <w:t xml:space="preserve">Acquired Comerica CRE:</w:t>
      </w:r>
      <w:r>
        <w:t xml:space="preserve"> </w:t>
      </w:r>
      <w:r>
        <w:t xml:space="preserve">Comerica materially increased FITB’s commercial mortgage and construction exposure. Overall ratios remain manageable, but acquired-office and other criticized credits deserve close attention.</w:t>
      </w:r>
    </w:p>
    <w:p>
      <w:pPr>
        <w:pStyle w:val="Compact"/>
        <w:numPr>
          <w:ilvl w:val="0"/>
          <w:numId w:val="1010"/>
        </w:numPr>
      </w:pPr>
      <w:r>
        <w:rPr>
          <w:b/>
          <w:bCs/>
        </w:rPr>
        <w:t xml:space="preserve">Solar lending:</w:t>
      </w:r>
      <w:r>
        <w:t xml:space="preserve"> </w:t>
      </w:r>
      <w:r>
        <w:t xml:space="preserve">Solar-installation loan charge-offs were 2.03% in 1Q. Management no longer views the portfolio as a growth asset because tax-policy changes have made leasing more competitive than lending.</w:t>
      </w:r>
    </w:p>
    <w:p>
      <w:pPr>
        <w:pStyle w:val="Compact"/>
        <w:numPr>
          <w:ilvl w:val="0"/>
          <w:numId w:val="1010"/>
        </w:numPr>
      </w:pPr>
      <w:r>
        <w:rPr>
          <w:b/>
          <w:bCs/>
        </w:rPr>
        <w:t xml:space="preserve">C&amp;I migration:</w:t>
      </w:r>
      <w:r>
        <w:t xml:space="preserve"> </w:t>
      </w:r>
      <w:r>
        <w:t xml:space="preserve">Strong current performance should not obscure the possibility that commodity costs and persistently high rates pressure weaker middle-market borrowers.</w:t>
      </w:r>
    </w:p>
    <w:p>
      <w:pPr>
        <w:pStyle w:val="Compact"/>
        <w:numPr>
          <w:ilvl w:val="0"/>
          <w:numId w:val="1010"/>
        </w:numPr>
      </w:pPr>
      <w:r>
        <w:rPr>
          <w:b/>
          <w:bCs/>
        </w:rPr>
        <w:t xml:space="preserve">Consumer normalization:</w:t>
      </w:r>
      <w:r>
        <w:t xml:space="preserve"> </w:t>
      </w:r>
      <w:r>
        <w:t xml:space="preserve">FITB’s borrowers skew toward homeowners with strong credit, but auto and unsecured consumer performance should still be monitored.</w:t>
      </w:r>
    </w:p>
    <w:p>
      <w:pPr>
        <w:pStyle w:val="Compact"/>
        <w:numPr>
          <w:ilvl w:val="0"/>
          <w:numId w:val="1010"/>
        </w:numPr>
      </w:pPr>
      <w:r>
        <w:rPr>
          <w:b/>
          <w:bCs/>
        </w:rPr>
        <w:t xml:space="preserve">Reserve behavior:</w:t>
      </w:r>
      <w:r>
        <w:t xml:space="preserve"> </w:t>
      </w:r>
      <w:r>
        <w:t xml:space="preserve">Investors should distinguish normal provision expense from acquisition-related reserve builds.</w:t>
      </w:r>
    </w:p>
    <w:p>
      <w:pPr>
        <w:pStyle w:val="FirstParagraph"/>
      </w:pPr>
      <w:r>
        <w:t xml:space="preserve">FITB has relatively limited exposure to private-credit vehicles, business development companies, data centers and software-related lending. That should reduce concern around several higher-profile areas of industry risk.</w:t>
      </w:r>
    </w:p>
    <w:p>
      <w:r>
        <w:pict>
          <v:rect style="width:0;height:1.5pt" o:hralign="center" o:hrstd="t" o:hr="t"/>
        </w:pict>
      </w:r>
    </w:p>
    <w:bookmarkEnd w:id="18"/>
    <w:bookmarkEnd w:id="19"/>
    <w:bookmarkStart w:id="20" w:name="X742d8159c11967c6d389d74e4d23c57f9f06d1c"/>
    <w:p>
      <w:pPr>
        <w:pStyle w:val="Heading2"/>
      </w:pPr>
      <w:r>
        <w:t xml:space="preserve">7. Capital return is likely secondary to organic growth</w:t>
      </w:r>
    </w:p>
    <w:p>
      <w:pPr>
        <w:pStyle w:val="FirstParagraph"/>
      </w:pPr>
      <w:r>
        <w:t xml:space="preserve">The merger reduced FITB’s CET1 ratio to 9.96% in the first quarter, down from 10.81% at year-end. Management’s operating target is</w:t>
      </w:r>
      <w:r>
        <w:t xml:space="preserve"> </w:t>
      </w:r>
      <w:r>
        <w:rPr>
          <w:b/>
          <w:bCs/>
        </w:rPr>
        <w:t xml:space="preserve">10%–10.5%</w:t>
      </w:r>
      <w:r>
        <w:t xml:space="preserve">.</w:t>
      </w:r>
    </w:p>
    <w:p>
      <w:pPr>
        <w:pStyle w:val="BodyText"/>
      </w:pPr>
      <w:r>
        <w:t xml:space="preserve">The company has said it expects to restart quarterly repurchases in the second half of 2026, although the amount will depend on:</w:t>
      </w:r>
    </w:p>
    <w:p>
      <w:pPr>
        <w:pStyle w:val="Compact"/>
        <w:numPr>
          <w:ilvl w:val="0"/>
          <w:numId w:val="1011"/>
        </w:numPr>
      </w:pPr>
      <w:r>
        <w:t xml:space="preserve">Loan and risk-weighted-asset growth.</w:t>
      </w:r>
    </w:p>
    <w:p>
      <w:pPr>
        <w:pStyle w:val="Compact"/>
        <w:numPr>
          <w:ilvl w:val="0"/>
          <w:numId w:val="1011"/>
        </w:numPr>
      </w:pPr>
      <w:r>
        <w:t xml:space="preserve">Remaining merger charges.</w:t>
      </w:r>
    </w:p>
    <w:p>
      <w:pPr>
        <w:pStyle w:val="Compact"/>
        <w:numPr>
          <w:ilvl w:val="0"/>
          <w:numId w:val="1011"/>
        </w:numPr>
      </w:pPr>
      <w:r>
        <w:t xml:space="preserve">Capital-rule implementation.</w:t>
      </w:r>
    </w:p>
    <w:p>
      <w:pPr>
        <w:pStyle w:val="Compact"/>
        <w:numPr>
          <w:ilvl w:val="0"/>
          <w:numId w:val="1011"/>
        </w:numPr>
      </w:pPr>
      <w:r>
        <w:t xml:space="preserve">Progress toward the CET1 target.</w:t>
      </w:r>
    </w:p>
    <w:p>
      <w:pPr>
        <w:pStyle w:val="Compact"/>
        <w:numPr>
          <w:ilvl w:val="0"/>
          <w:numId w:val="1011"/>
        </w:numPr>
      </w:pPr>
      <w:r>
        <w:t xml:space="preserve">Tangible common equity, which management views as another practical constraint.</w:t>
      </w:r>
    </w:p>
    <w:p>
      <w:pPr>
        <w:pStyle w:val="FirstParagraph"/>
      </w:pPr>
      <w:r>
        <w:t xml:space="preserve">Historically, normal repurchases were approximately</w:t>
      </w:r>
      <w:r>
        <w:t xml:space="preserve"> </w:t>
      </w:r>
      <m:oMath>
        <m:r>
          <m:t>200</m:t>
        </m:r>
        <m:r>
          <m:t>m</m:t>
        </m:r>
        <m:r>
          <m:t>i</m:t>
        </m:r>
        <m:r>
          <m:t>l</m:t>
        </m:r>
        <m:r>
          <m:t>l</m:t>
        </m:r>
        <m:r>
          <m:t>i</m:t>
        </m:r>
        <m:r>
          <m:t>o</m:t>
        </m:r>
        <m:r>
          <m:t>n</m:t>
        </m:r>
        <m:r>
          <m:rPr>
            <m:sty m:val="p"/>
          </m:rPr>
          <m:t>–</m:t>
        </m:r>
      </m:oMath>
      <w:r>
        <w:t xml:space="preserve">300 million per quarter, but management has indicated that initial second-half activity will likely be below that level.</w:t>
      </w:r>
    </w:p>
    <w:p>
      <w:pPr>
        <w:pStyle w:val="BodyText"/>
      </w:pPr>
      <w:r>
        <w:t xml:space="preserve">A delayed or modest buyback would not necessarily be negative if capital is being deployed into attractive relationship-based loan growth. Conversely, a strong capital build without repurchases or growth could invite questions about merger-related uncertainty.</w:t>
      </w:r>
    </w:p>
    <w:p>
      <w:r>
        <w:pict>
          <v:rect style="width:0;height:1.5pt" o:hralign="center" o:hrstd="t" o:hr="t"/>
        </w:pict>
      </w:r>
    </w:p>
    <w:bookmarkEnd w:id="20"/>
    <w:bookmarkStart w:id="21" w:name="valuation-and-stock-setup"/>
    <w:p>
      <w:pPr>
        <w:pStyle w:val="Heading2"/>
      </w:pPr>
      <w:r>
        <w:t xml:space="preserve">Valuation and stock setup</w:t>
      </w:r>
    </w:p>
    <w:p>
      <w:pPr>
        <w:pStyle w:val="FirstParagraph"/>
      </w:pPr>
      <w:r>
        <w:t xml:space="preserve">At $59.39, FITB trades at approximately:</w:t>
      </w:r>
    </w:p>
    <w:p>
      <w:pPr>
        <w:pStyle w:val="Compact"/>
        <w:numPr>
          <w:ilvl w:val="0"/>
          <w:numId w:val="1012"/>
        </w:numPr>
      </w:pPr>
      <w:r>
        <w:rPr>
          <w:b/>
          <w:bCs/>
        </w:rPr>
        <w:t xml:space="preserve">2.6x first-quarter tangible book value of $22.88</w:t>
      </w:r>
    </w:p>
    <w:p>
      <w:pPr>
        <w:pStyle w:val="Compact"/>
        <w:numPr>
          <w:ilvl w:val="0"/>
          <w:numId w:val="1012"/>
        </w:numPr>
      </w:pPr>
      <w:r>
        <w:rPr>
          <w:b/>
          <w:bCs/>
        </w:rPr>
        <w:t xml:space="preserve">1.7x first-quarter book value of $35.24</w:t>
      </w:r>
    </w:p>
    <w:p>
      <w:pPr>
        <w:pStyle w:val="Compact"/>
        <w:numPr>
          <w:ilvl w:val="0"/>
          <w:numId w:val="1012"/>
        </w:numPr>
      </w:pPr>
      <w:r>
        <w:rPr>
          <w:b/>
          <w:bCs/>
        </w:rPr>
        <w:t xml:space="preserve">12.1x management’s original 2027 EPS target of $4.89</w:t>
      </w:r>
    </w:p>
    <w:p>
      <w:pPr>
        <w:pStyle w:val="FirstParagraph"/>
      </w:pPr>
      <w:r>
        <w:t xml:space="preserve">The 2027 target did not include revenue synergies, and management has since expressed greater confidence in cross-selling opportunities. However, the stock’s strong run means the market is already assigning meaningful value to successful integration and above-peer profitability.</w:t>
      </w:r>
    </w:p>
    <w:p>
      <w:pPr>
        <w:pStyle w:val="BodyText"/>
      </w:pPr>
      <w:r>
        <w:t xml:space="preserve">The valuation argues that the stock reaction will be driven more by</w:t>
      </w:r>
      <w:r>
        <w:t xml:space="preserve"> </w:t>
      </w:r>
      <w:r>
        <w:rPr>
          <w:b/>
          <w:bCs/>
        </w:rPr>
        <w:t xml:space="preserve">changes to the 2026–2027 earnings trajectory</w:t>
      </w:r>
      <w:r>
        <w:t xml:space="preserve"> </w:t>
      </w:r>
      <w:r>
        <w:t xml:space="preserve">than by a modest second-quarter EPS variance.</w:t>
      </w:r>
    </w:p>
    <w:p>
      <w:r>
        <w:pict>
          <v:rect style="width:0;height:1.5pt" o:hralign="center" o:hrstd="t" o:hr="t"/>
        </w:pict>
      </w:r>
    </w:p>
    <w:bookmarkEnd w:id="21"/>
    <w:bookmarkStart w:id="25" w:name="bull-base-and-bear-scenarios"/>
    <w:p>
      <w:pPr>
        <w:pStyle w:val="Heading2"/>
      </w:pPr>
      <w:r>
        <w:t xml:space="preserve">Bull, base and bear scenarios</w:t>
      </w:r>
    </w:p>
    <w:bookmarkStart w:id="22" w:name="bull-case"/>
    <w:p>
      <w:pPr>
        <w:pStyle w:val="Heading3"/>
      </w:pPr>
      <w:r>
        <w:t xml:space="preserve">Bull case</w:t>
      </w:r>
    </w:p>
    <w:p>
      <w:pPr>
        <w:pStyle w:val="Compact"/>
        <w:numPr>
          <w:ilvl w:val="0"/>
          <w:numId w:val="1013"/>
        </w:numPr>
      </w:pPr>
      <w:r>
        <w:t xml:space="preserve">NII and fees land near or above the high end.</w:t>
      </w:r>
    </w:p>
    <w:p>
      <w:pPr>
        <w:pStyle w:val="Compact"/>
        <w:numPr>
          <w:ilvl w:val="0"/>
          <w:numId w:val="1013"/>
        </w:numPr>
      </w:pPr>
      <w:r>
        <w:t xml:space="preserve">Expenses are at or below $1.87 billion.</w:t>
      </w:r>
    </w:p>
    <w:p>
      <w:pPr>
        <w:pStyle w:val="Compact"/>
        <w:numPr>
          <w:ilvl w:val="0"/>
          <w:numId w:val="1013"/>
        </w:numPr>
      </w:pPr>
      <w:r>
        <w:t xml:space="preserve">NCOs are near 30 basis points.</w:t>
      </w:r>
    </w:p>
    <w:p>
      <w:pPr>
        <w:pStyle w:val="Compact"/>
        <w:numPr>
          <w:ilvl w:val="0"/>
          <w:numId w:val="1013"/>
        </w:numPr>
      </w:pPr>
      <w:r>
        <w:t xml:space="preserve">Management raises or tightens full-year revenue guidance.</w:t>
      </w:r>
    </w:p>
    <w:p>
      <w:pPr>
        <w:pStyle w:val="Compact"/>
        <w:numPr>
          <w:ilvl w:val="0"/>
          <w:numId w:val="1013"/>
        </w:numPr>
      </w:pPr>
      <w:r>
        <w:t xml:space="preserve">NIM is on track to exceed the roughly 3.40% year-end goal.</w:t>
      </w:r>
    </w:p>
    <w:p>
      <w:pPr>
        <w:pStyle w:val="Compact"/>
        <w:numPr>
          <w:ilvl w:val="0"/>
          <w:numId w:val="1013"/>
        </w:numPr>
      </w:pPr>
      <w:r>
        <w:t xml:space="preserve">The $850 million synergy target is reaffirmed with potential upside.</w:t>
      </w:r>
    </w:p>
    <w:p>
      <w:pPr>
        <w:pStyle w:val="Compact"/>
        <w:numPr>
          <w:ilvl w:val="0"/>
          <w:numId w:val="1013"/>
        </w:numPr>
      </w:pPr>
      <w:r>
        <w:t xml:space="preserve">Deposit campaign balances remain durable and accretive.</w:t>
      </w:r>
    </w:p>
    <w:p>
      <w:pPr>
        <w:pStyle w:val="Compact"/>
        <w:numPr>
          <w:ilvl w:val="0"/>
          <w:numId w:val="1013"/>
        </w:numPr>
      </w:pPr>
      <w:r>
        <w:t xml:space="preserve">Labor Day conversion remains firmly on schedule.</w:t>
      </w:r>
    </w:p>
    <w:bookmarkEnd w:id="22"/>
    <w:bookmarkStart w:id="23" w:name="base-case"/>
    <w:p>
      <w:pPr>
        <w:pStyle w:val="Heading3"/>
      </w:pPr>
      <w:r>
        <w:t xml:space="preserve">Base case</w:t>
      </w:r>
    </w:p>
    <w:p>
      <w:pPr>
        <w:pStyle w:val="Compact"/>
        <w:numPr>
          <w:ilvl w:val="0"/>
          <w:numId w:val="1014"/>
        </w:numPr>
      </w:pPr>
      <w:r>
        <w:t xml:space="preserve">Results broadly match guidance.</w:t>
      </w:r>
    </w:p>
    <w:p>
      <w:pPr>
        <w:pStyle w:val="Compact"/>
        <w:numPr>
          <w:ilvl w:val="0"/>
          <w:numId w:val="1014"/>
        </w:numPr>
      </w:pPr>
      <w:r>
        <w:t xml:space="preserve">PPNR is modestly better due to lower expenses.</w:t>
      </w:r>
    </w:p>
    <w:p>
      <w:pPr>
        <w:pStyle w:val="Compact"/>
        <w:numPr>
          <w:ilvl w:val="0"/>
          <w:numId w:val="1014"/>
        </w:numPr>
      </w:pPr>
      <w:r>
        <w:t xml:space="preserve">Credit remains benign.</w:t>
      </w:r>
    </w:p>
    <w:p>
      <w:pPr>
        <w:pStyle w:val="Compact"/>
        <w:numPr>
          <w:ilvl w:val="0"/>
          <w:numId w:val="1014"/>
        </w:numPr>
      </w:pPr>
      <w:r>
        <w:t xml:space="preserve">Full-year guidance is reiterated.</w:t>
      </w:r>
    </w:p>
    <w:p>
      <w:pPr>
        <w:pStyle w:val="Compact"/>
        <w:numPr>
          <w:ilvl w:val="0"/>
          <w:numId w:val="1014"/>
        </w:numPr>
      </w:pPr>
      <w:r>
        <w:t xml:space="preserve">Management emphasizes execution rather than raising targets ahead of the systems conversion.</w:t>
      </w:r>
    </w:p>
    <w:p>
      <w:pPr>
        <w:pStyle w:val="FirstParagraph"/>
      </w:pPr>
      <w:r>
        <w:t xml:space="preserve">This would be operationally sound, although the share reaction could be muted after the recent rally.</w:t>
      </w:r>
    </w:p>
    <w:bookmarkEnd w:id="23"/>
    <w:bookmarkStart w:id="24" w:name="bear-case"/>
    <w:p>
      <w:pPr>
        <w:pStyle w:val="Heading3"/>
      </w:pPr>
      <w:r>
        <w:t xml:space="preserve">Bear case</w:t>
      </w:r>
    </w:p>
    <w:p>
      <w:pPr>
        <w:pStyle w:val="Compact"/>
        <w:numPr>
          <w:ilvl w:val="0"/>
          <w:numId w:val="1015"/>
        </w:numPr>
      </w:pPr>
      <w:r>
        <w:t xml:space="preserve">Deposit costs rise or promotional deposits prove expensive.</w:t>
      </w:r>
    </w:p>
    <w:p>
      <w:pPr>
        <w:pStyle w:val="Compact"/>
        <w:numPr>
          <w:ilvl w:val="0"/>
          <w:numId w:val="1015"/>
        </w:numPr>
      </w:pPr>
      <w:r>
        <w:t xml:space="preserve">NIM misses despite the full-quarter Comerica benefit.</w:t>
      </w:r>
    </w:p>
    <w:p>
      <w:pPr>
        <w:pStyle w:val="Compact"/>
        <w:numPr>
          <w:ilvl w:val="0"/>
          <w:numId w:val="1015"/>
        </w:numPr>
      </w:pPr>
      <w:r>
        <w:t xml:space="preserve">Integration expenses increase or the conversion timeline becomes less certain.</w:t>
      </w:r>
    </w:p>
    <w:p>
      <w:pPr>
        <w:pStyle w:val="Compact"/>
        <w:numPr>
          <w:ilvl w:val="0"/>
          <w:numId w:val="1015"/>
        </w:numPr>
      </w:pPr>
      <w:r>
        <w:t xml:space="preserve">Commercial credit migration appears in acquired portfolios.</w:t>
      </w:r>
    </w:p>
    <w:p>
      <w:pPr>
        <w:pStyle w:val="Compact"/>
        <w:numPr>
          <w:ilvl w:val="0"/>
          <w:numId w:val="1015"/>
        </w:numPr>
      </w:pPr>
      <w:r>
        <w:t xml:space="preserve">Strong loan growth consumes capital without producing attractive incremental returns.</w:t>
      </w:r>
    </w:p>
    <w:p>
      <w:pPr>
        <w:pStyle w:val="Compact"/>
        <w:numPr>
          <w:ilvl w:val="0"/>
          <w:numId w:val="1015"/>
        </w:numPr>
      </w:pPr>
      <w:r>
        <w:t xml:space="preserve">Full-year guidance is maintained only through lower provisions rather than stronger core revenue.</w:t>
      </w:r>
    </w:p>
    <w:p>
      <w:pPr>
        <w:pStyle w:val="Compact"/>
        <w:numPr>
          <w:ilvl w:val="0"/>
          <w:numId w:val="1015"/>
        </w:numPr>
      </w:pPr>
      <w:r>
        <w:t xml:space="preserve">Management becomes less confident about fourth-quarter efficiency or 2027 profitability.</w:t>
      </w:r>
    </w:p>
    <w:p>
      <w:r>
        <w:pict>
          <v:rect style="width:0;height:1.5pt" o:hralign="center" o:hrstd="t" o:hr="t"/>
        </w:pict>
      </w:r>
    </w:p>
    <w:bookmarkEnd w:id="24"/>
    <w:bookmarkEnd w:id="25"/>
    <w:bookmarkStart w:id="26" w:name="bottom-line"/>
    <w:p>
      <w:pPr>
        <w:pStyle w:val="Heading2"/>
      </w:pPr>
      <w:r>
        <w:t xml:space="preserve">Bottom line</w:t>
      </w:r>
    </w:p>
    <w:p>
      <w:pPr>
        <w:pStyle w:val="FirstParagraph"/>
      </w:pPr>
      <w:r>
        <w:t xml:space="preserve">The setup is favorable: FITB entered the report with NII, fees, integration and credit all tracking at least in line, while expenses and charge-offs were performing somewhat better than expected.</w:t>
      </w:r>
    </w:p>
    <w:p>
      <w:pPr>
        <w:pStyle w:val="BodyText"/>
      </w:pPr>
      <w:r>
        <w:t xml:space="preserve">The most important confirmation would be a combination of:</w:t>
      </w:r>
    </w:p>
    <w:p>
      <w:pPr>
        <w:pStyle w:val="Compact"/>
        <w:numPr>
          <w:ilvl w:val="0"/>
          <w:numId w:val="1016"/>
        </w:numPr>
      </w:pPr>
      <w:r>
        <w:rPr>
          <w:b/>
          <w:bCs/>
        </w:rPr>
        <w:t xml:space="preserve">NIM around 3.33%–3.35% with a credible path toward 3.40%;</w:t>
      </w:r>
    </w:p>
    <w:p>
      <w:pPr>
        <w:pStyle w:val="Compact"/>
        <w:numPr>
          <w:ilvl w:val="0"/>
          <w:numId w:val="1016"/>
        </w:numPr>
      </w:pPr>
      <w:r>
        <w:rPr>
          <w:b/>
          <w:bCs/>
        </w:rPr>
        <w:t xml:space="preserve">Adjusted expenses near the low end of guidance;</w:t>
      </w:r>
    </w:p>
    <w:p>
      <w:pPr>
        <w:pStyle w:val="Compact"/>
        <w:numPr>
          <w:ilvl w:val="0"/>
          <w:numId w:val="1016"/>
        </w:numPr>
      </w:pPr>
      <w:r>
        <w:rPr>
          <w:b/>
          <w:bCs/>
        </w:rPr>
        <w:t xml:space="preserve">Charge-offs close to 30 basis points;</w:t>
      </w:r>
    </w:p>
    <w:p>
      <w:pPr>
        <w:pStyle w:val="Compact"/>
        <w:numPr>
          <w:ilvl w:val="0"/>
          <w:numId w:val="1016"/>
        </w:numPr>
      </w:pPr>
      <w:r>
        <w:rPr>
          <w:b/>
          <w:bCs/>
        </w:rPr>
        <w:t xml:space="preserve">Continued strong, economical deposit growth;</w:t>
      </w:r>
    </w:p>
    <w:p>
      <w:pPr>
        <w:pStyle w:val="Compact"/>
        <w:numPr>
          <w:ilvl w:val="0"/>
          <w:numId w:val="1016"/>
        </w:numPr>
      </w:pPr>
      <w:r>
        <w:rPr>
          <w:b/>
          <w:bCs/>
        </w:rPr>
        <w:t xml:space="preserve">An unchanged Labor Day conversion schedule; and</w:t>
      </w:r>
    </w:p>
    <w:p>
      <w:pPr>
        <w:pStyle w:val="Compact"/>
        <w:numPr>
          <w:ilvl w:val="0"/>
          <w:numId w:val="1016"/>
        </w:numPr>
      </w:pPr>
      <w:r>
        <w:rPr>
          <w:b/>
          <w:bCs/>
        </w:rPr>
        <w:t xml:space="preserve">Firm confidence in the $850 million fourth-quarter cost-saving run rate.</w:t>
      </w:r>
    </w:p>
    <w:p>
      <w:pPr>
        <w:pStyle w:val="FirstParagraph"/>
      </w:pPr>
      <w:r>
        <w:t xml:space="preserve">Given the stock’s appreciation, investors should focus less on whether adjusted EPS is a few cents above or below approximately $1.04 and more on whether management can raise the probability of achieving—and eventually exceeding—the combined company’s 2027 earnings and return targets.</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2026-07-17T00:08:40Z</dcterms:created>
  <dcterms:modified xsi:type="dcterms:W3CDTF">2026-07-17T00:08:40Z</dcterms:modified>
</cp:coreProperties>
</file>

<file path=docProps/custom.xml><?xml version="1.0" encoding="utf-8"?>
<Properties xmlns="http://schemas.openxmlformats.org/officeDocument/2006/custom-properties" xmlns:vt="http://schemas.openxmlformats.org/officeDocument/2006/docPropsVTypes"/>
</file>