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fitb-2q26-earnings-preview"/>
    <w:p>
      <w:pPr>
        <w:pStyle w:val="Heading1"/>
      </w:pPr>
      <w:r>
        <w:t xml:space="preserve">FITB 2Q26 Earnings Preview</w:t>
      </w:r>
    </w:p>
    <w:p>
      <w:pPr>
        <w:pStyle w:val="BlockText"/>
      </w:pPr>
      <w:r>
        <w:rPr>
          <w:b/>
          <w:bCs/>
        </w:rPr>
        <w:t xml:space="preserve">Timing note:</w:t>
      </w:r>
      <w:r>
        <w:t xml:space="preserve"> </w:t>
      </w:r>
      <w:r>
        <w:t xml:space="preserve">The event date supplied is</w:t>
      </w:r>
      <w:r>
        <w:t xml:space="preserve"> </w:t>
      </w:r>
      <w:r>
        <w:rPr>
          <w:b/>
          <w:bCs/>
        </w:rPr>
        <w:t xml:space="preserve">Friday, July 17, 2026</w:t>
      </w:r>
      <w:r>
        <w:t xml:space="preserve">. Since that is the current date, I have framed this as a</w:t>
      </w:r>
      <w:r>
        <w:t xml:space="preserve"> </w:t>
      </w:r>
      <w:r>
        <w:rPr>
          <w:b/>
          <w:bCs/>
        </w:rPr>
        <w:t xml:space="preserve">pre-results preview using the July 16 closing price</w:t>
      </w:r>
      <w:r>
        <w:t xml:space="preserve"> </w:t>
      </w:r>
      <w:r>
        <w:t xml:space="preserve">rather than treating July 17 as “tomorrow.”</w:t>
      </w:r>
    </w:p>
    <w:bookmarkStart w:id="9" w:name="investment-setup"/>
    <w:p>
      <w:pPr>
        <w:pStyle w:val="Heading2"/>
      </w:pPr>
      <w:r>
        <w:t xml:space="preserve">Investment setup</w:t>
      </w:r>
    </w:p>
    <w:p>
      <w:pPr>
        <w:pStyle w:val="FirstParagraph"/>
      </w:pPr>
      <w:r>
        <w:t xml:space="preserve">Fifth Third enters 2Q26 with an unusually favorable near-term setup: management reiterated its outlook in June, said pre-provision net revenue was tracking</w:t>
      </w:r>
      <w:r>
        <w:t xml:space="preserve"> </w:t>
      </w:r>
      <w:r>
        <w:rPr>
          <w:b/>
          <w:bCs/>
        </w:rPr>
        <w:t xml:space="preserve">slightly above</w:t>
      </w:r>
      <w:r>
        <w:t xml:space="preserve"> </w:t>
      </w:r>
      <w:r>
        <w:t xml:space="preserve">its initial quarterly framework, expenses were trending toward the</w:t>
      </w:r>
      <w:r>
        <w:t xml:space="preserve"> </w:t>
      </w:r>
      <w:r>
        <w:rPr>
          <w:b/>
          <w:bCs/>
        </w:rPr>
        <w:t xml:space="preserve">low end</w:t>
      </w:r>
      <w:r>
        <w:t xml:space="preserve"> </w:t>
      </w:r>
      <w:r>
        <w:t xml:space="preserve">of guidance, and net charge-offs appeared likely to land near the</w:t>
      </w:r>
      <w:r>
        <w:t xml:space="preserve"> </w:t>
      </w:r>
      <w:r>
        <w:rPr>
          <w:b/>
          <w:bCs/>
        </w:rPr>
        <w:t xml:space="preserve">bottom</w:t>
      </w:r>
      <w:r>
        <w:t xml:space="preserve"> </w:t>
      </w:r>
      <w:r>
        <w:t xml:space="preserve">of the guided range.</w:t>
      </w:r>
    </w:p>
    <w:p>
      <w:pPr>
        <w:pStyle w:val="BodyText"/>
      </w:pPr>
      <w:r>
        <w:t xml:space="preserve">The complication is that this is the first full quarter following the February 1 close of the Comerica acquisition. Consequently, year-over-year and sequential reported growth will be heavily affected by consolidation, purchase accounting, merger charges, and the addition of a full quarter of Comerica results. The more important question is whether FITB confirms that the combined franchise is delivering the earnings-power, funding, and cost-synergy trajectory embedded in its 2027 targets.</w:t>
      </w:r>
    </w:p>
    <w:p>
      <w:pPr>
        <w:pStyle w:val="BodyText"/>
      </w:pPr>
      <w:r>
        <w:t xml:space="preserve">The stock has already moved sharply: FITB closed at</w:t>
      </w:r>
      <w:r>
        <w:t xml:space="preserve"> </w:t>
      </w:r>
      <w:r>
        <w:rPr>
          <w:b/>
          <w:bCs/>
        </w:rPr>
        <w:t xml:space="preserve">$59.39 on July 16</w:t>
      </w:r>
      <w:r>
        <w:t xml:space="preserve">, up roughly</w:t>
      </w:r>
      <w:r>
        <w:t xml:space="preserve"> </w:t>
      </w:r>
      <w:r>
        <w:rPr>
          <w:b/>
          <w:bCs/>
        </w:rPr>
        <w:t xml:space="preserve">26.9%</w:t>
      </w:r>
      <w:r>
        <w:t xml:space="preserve"> </w:t>
      </w:r>
      <w:r>
        <w:t xml:space="preserve">from December 31, 2025, versus about</w:t>
      </w:r>
      <w:r>
        <w:t xml:space="preserve"> </w:t>
      </w:r>
      <w:r>
        <w:rPr>
          <w:b/>
          <w:bCs/>
        </w:rPr>
        <w:t xml:space="preserve">20.3%</w:t>
      </w:r>
      <w:r>
        <w:t xml:space="preserve"> </w:t>
      </w:r>
      <w:r>
        <w:t xml:space="preserve">for the KRE regional-bank ETF. That relative outperformance raises the bar for a simple in-line print and puts greater weight on the quality of guidance, integration execution, and capital-return commentary.</w:t>
      </w:r>
    </w:p>
    <w:bookmarkEnd w:id="9"/>
    <w:bookmarkStart w:id="10" w:name="what-management-guided-to-for-2q26"/>
    <w:p>
      <w:pPr>
        <w:pStyle w:val="Heading2"/>
      </w:pPr>
      <w:r>
        <w:t xml:space="preserve">What management guided to for 2Q26</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2Q26 company outlook</w:t>
            </w:r>
          </w:p>
        </w:tc>
        <w:tc>
          <w:tcPr/>
          <w:p>
            <w:pPr>
              <w:pStyle w:val="Compact"/>
            </w:pPr>
            <w:r>
              <w:t xml:space="preserve">Why it matters</w:t>
            </w:r>
          </w:p>
        </w:tc>
      </w:tr>
      <w:tr>
        <w:tc>
          <w:tcPr/>
          <w:p>
            <w:pPr>
              <w:pStyle w:val="Compact"/>
            </w:pPr>
            <w:r>
              <w:t xml:space="preserve">Net interest income</w:t>
            </w:r>
          </w:p>
        </w:tc>
        <w:tc>
          <w:tcPr/>
          <w:p>
            <w:pPr>
              <w:pStyle w:val="Compact"/>
              <w:jc w:val="right"/>
            </w:pPr>
            <m:oMath>
              <m:r>
                <m:t>2.20</m:t>
              </m:r>
              <m:r>
                <m:t>B</m:t>
              </m:r>
              <m:r>
                <m:rPr>
                  <m:sty m:val="p"/>
                </m:rPr>
                <m:t>–</m:t>
              </m:r>
            </m:oMath>
            <w:r>
              <w:rPr>
                <w:b/>
                <w:bCs/>
              </w:rPr>
              <w:t xml:space="preserve">2.25B</w:t>
            </w:r>
          </w:p>
        </w:tc>
        <w:tc>
          <w:tcPr/>
          <w:p>
            <w:pPr>
              <w:pStyle w:val="Compact"/>
            </w:pPr>
            <w:r>
              <w:t xml:space="preserve">Full-quarter Comerica contribution, purchase-accounting accretion, deposit costs, and rate sensitivity should drive the step-up from 1Q.</w:t>
            </w:r>
          </w:p>
        </w:tc>
      </w:tr>
      <w:tr>
        <w:tc>
          <w:tcPr/>
          <w:p>
            <w:pPr>
              <w:pStyle w:val="Compact"/>
            </w:pPr>
            <w:r>
              <w:t xml:space="preserve">Net interest margin</w:t>
            </w:r>
          </w:p>
        </w:tc>
        <w:tc>
          <w:tcPr/>
          <w:p>
            <w:pPr>
              <w:pStyle w:val="Compact"/>
              <w:jc w:val="right"/>
            </w:pPr>
            <w:r>
              <w:rPr>
                <w:b/>
                <w:bCs/>
              </w:rPr>
              <w:t xml:space="preserve">+3–5 bps sequentially</w:t>
            </w:r>
          </w:p>
        </w:tc>
        <w:tc>
          <w:tcPr/>
          <w:p>
            <w:pPr>
              <w:pStyle w:val="Compact"/>
            </w:pPr>
            <w:r>
              <w:t xml:space="preserve">Implies roughly</w:t>
            </w:r>
            <w:r>
              <w:t xml:space="preserve"> </w:t>
            </w:r>
            <w:r>
              <w:rPr>
                <w:b/>
                <w:bCs/>
              </w:rPr>
              <w:t xml:space="preserve">3.33%–3.35%</w:t>
            </w:r>
            <w:r>
              <w:t xml:space="preserve">, with management still targeting an exit rate near 3.40% late in 2026.</w:t>
            </w:r>
          </w:p>
        </w:tc>
      </w:tr>
      <w:tr>
        <w:tc>
          <w:tcPr/>
          <w:p>
            <w:pPr>
              <w:pStyle w:val="Compact"/>
            </w:pPr>
            <w:r>
              <w:t xml:space="preserve">Noninterest income</w:t>
            </w:r>
          </w:p>
        </w:tc>
        <w:tc>
          <w:tcPr/>
          <w:p>
            <w:pPr>
              <w:pStyle w:val="Compact"/>
              <w:jc w:val="right"/>
            </w:pPr>
            <m:oMath>
              <m:r>
                <m:t>1.00</m:t>
              </m:r>
              <m:r>
                <m:t>B</m:t>
              </m:r>
              <m:r>
                <m:rPr>
                  <m:sty m:val="p"/>
                </m:rPr>
                <m:t>–</m:t>
              </m:r>
            </m:oMath>
            <w:r>
              <w:rPr>
                <w:b/>
                <w:bCs/>
              </w:rPr>
              <w:t xml:space="preserve">1.06B</w:t>
            </w:r>
          </w:p>
        </w:tc>
        <w:tc>
          <w:tcPr/>
          <w:p>
            <w:pPr>
              <w:pStyle w:val="Compact"/>
            </w:pPr>
            <w:r>
              <w:t xml:space="preserve">Tests momentum in commercial payments, wealth, capital markets, and the acquired Comerica franchise.</w:t>
            </w:r>
          </w:p>
        </w:tc>
      </w:tr>
      <w:tr>
        <w:tc>
          <w:tcPr/>
          <w:p>
            <w:pPr>
              <w:pStyle w:val="Compact"/>
            </w:pPr>
            <w:r>
              <w:t xml:space="preserve">Noninterest expense</w:t>
            </w:r>
          </w:p>
        </w:tc>
        <w:tc>
          <w:tcPr/>
          <w:p>
            <w:pPr>
              <w:pStyle w:val="Compact"/>
              <w:jc w:val="right"/>
            </w:pPr>
            <m:oMath>
              <m:r>
                <m:t>1.87</m:t>
              </m:r>
              <m:r>
                <m:t>B</m:t>
              </m:r>
              <m:r>
                <m:rPr>
                  <m:sty m:val="p"/>
                </m:rPr>
                <m:t>–</m:t>
              </m:r>
            </m:oMath>
            <w:r>
              <w:rPr>
                <w:b/>
                <w:bCs/>
              </w:rPr>
              <w:t xml:space="preserve">1.89B</w:t>
            </w:r>
          </w:p>
        </w:tc>
        <w:tc>
          <w:tcPr/>
          <w:p>
            <w:pPr>
              <w:pStyle w:val="Compact"/>
            </w:pPr>
            <w:r>
              <w:t xml:space="preserve">The key operating-cost benchmark; merger-related charges should be assessed separately from recurring expense.</w:t>
            </w:r>
          </w:p>
        </w:tc>
      </w:tr>
      <w:tr>
        <w:tc>
          <w:tcPr/>
          <w:p>
            <w:pPr>
              <w:pStyle w:val="Compact"/>
            </w:pPr>
            <w:r>
              <w:t xml:space="preserve">Net charge-offs</w:t>
            </w:r>
          </w:p>
        </w:tc>
        <w:tc>
          <w:tcPr/>
          <w:p>
            <w:pPr>
              <w:pStyle w:val="Compact"/>
              <w:jc w:val="right"/>
            </w:pPr>
            <w:r>
              <w:rPr>
                <w:b/>
                <w:bCs/>
              </w:rPr>
              <w:t xml:space="preserve">30–35 bps</w:t>
            </w:r>
          </w:p>
        </w:tc>
        <w:tc>
          <w:tcPr/>
          <w:p>
            <w:pPr>
              <w:pStyle w:val="Compact"/>
            </w:pPr>
            <w:r>
              <w:t xml:space="preserve">A low-end outcome would reinforce the message that credit remains benign despite a larger commercial book.</w:t>
            </w:r>
          </w:p>
        </w:tc>
      </w:tr>
      <w:tr>
        <w:tc>
          <w:tcPr/>
          <w:p>
            <w:pPr>
              <w:pStyle w:val="Compact"/>
            </w:pPr>
            <w:r>
              <w:t xml:space="preserve">Average loans</w:t>
            </w:r>
          </w:p>
        </w:tc>
        <w:tc>
          <w:tcPr/>
          <w:p>
            <w:pPr>
              <w:pStyle w:val="Compact"/>
              <w:jc w:val="right"/>
            </w:pPr>
            <m:oMath>
              <m:r>
                <m:t>178</m:t>
              </m:r>
              <m:r>
                <m:t>B</m:t>
              </m:r>
              <m:r>
                <m:rPr>
                  <m:sty m:val="p"/>
                </m:rPr>
                <m:t>–</m:t>
              </m:r>
            </m:oMath>
            <w:r>
              <w:rPr>
                <w:b/>
                <w:bCs/>
              </w:rPr>
              <w:t xml:space="preserve">179B</w:t>
            </w:r>
          </w:p>
        </w:tc>
        <w:tc>
          <w:tcPr/>
          <w:p>
            <w:pPr>
              <w:pStyle w:val="Compact"/>
            </w:pPr>
            <w:r>
              <w:t xml:space="preserve">Growth expected in C&amp;I, home equity, and auto.</w:t>
            </w:r>
          </w:p>
        </w:tc>
      </w:tr>
    </w:tbl>
    <w:p>
      <w:pPr>
        <w:pStyle w:val="BodyText"/>
      </w:pPr>
      <w:r>
        <w:rPr>
          <w:b/>
          <w:bCs/>
        </w:rPr>
        <w:t xml:space="preserve">Important framing:</w:t>
      </w:r>
      <w:r>
        <w:t xml:space="preserve"> </w:t>
      </w:r>
      <w:r>
        <w:t xml:space="preserve">FITB’s reported 1Q26 EPS of $0.15 was depressed by $0.68 per share of merger-related and other items. For 2Q, investors should focus less on headline GAAP EPS and more on adjusted earnings, operating PPNR, tangible-book-value progression, and the bridge to the company’s fourth-quarter synergy run rate.</w:t>
      </w:r>
    </w:p>
    <w:bookmarkEnd w:id="10"/>
    <w:bookmarkStart w:id="13" w:name="X324467fa113a365773ab4c718361fa278ad3ff7"/>
    <w:p>
      <w:pPr>
        <w:pStyle w:val="Heading2"/>
      </w:pPr>
      <w:r>
        <w:t xml:space="preserve">The central debate: is the Comerica deal tracking ahead of plan?</w:t>
      </w:r>
    </w:p>
    <w:bookmarkStart w:id="11" w:name="reasons-to-be-constructive"/>
    <w:p>
      <w:pPr>
        <w:pStyle w:val="Heading3"/>
      </w:pPr>
      <w:r>
        <w:t xml:space="preserve">Reasons to be constructive</w:t>
      </w:r>
    </w:p>
    <w:p>
      <w:pPr>
        <w:numPr>
          <w:ilvl w:val="0"/>
          <w:numId w:val="1001"/>
        </w:numPr>
      </w:pPr>
      <w:r>
        <w:rPr>
          <w:b/>
          <w:bCs/>
        </w:rPr>
        <w:t xml:space="preserve">Management’s June update was favorable.</w:t>
      </w:r>
      <w:r>
        <w:br/>
      </w:r>
      <w:r>
        <w:t xml:space="preserve">At its June 10 conference appearance, FITB said NII and fee income were tracking in line with guidance, expenses were trending to the low end of the range, credit was strong, and quarterly PPNR was likely to be modestly better than initially expected.</w:t>
      </w:r>
    </w:p>
    <w:p>
      <w:pPr>
        <w:numPr>
          <w:ilvl w:val="0"/>
          <w:numId w:val="1001"/>
        </w:numPr>
      </w:pPr>
      <w:r>
        <w:rPr>
          <w:b/>
          <w:bCs/>
        </w:rPr>
        <w:t xml:space="preserve">Funding is improving, not merely growing.</w:t>
      </w:r>
      <w:r>
        <w:br/>
      </w:r>
      <w:r>
        <w:t xml:space="preserve">The acquisition added a meaningful commercial deposit franchise. In 1Q, noninterest-bearing deposits rose to 28% of core deposits, versus 25% a year earlier. Management also said its Comerica-branded direct-mail campaigns were expected to generate about</w:t>
      </w:r>
      <w:r>
        <w:t xml:space="preserve"> </w:t>
      </w:r>
      <w:r>
        <w:rPr>
          <w:b/>
          <w:bCs/>
        </w:rPr>
        <w:t xml:space="preserve">$2B of deposits by June 30</w:t>
      </w:r>
      <w:r>
        <w:t xml:space="preserve">, double the prior $1B expectation. The key follow-up is the durability and cost of those deposits—not simply the headline balance.</w:t>
      </w:r>
    </w:p>
    <w:p>
      <w:pPr>
        <w:numPr>
          <w:ilvl w:val="0"/>
          <w:numId w:val="1001"/>
        </w:numPr>
      </w:pPr>
      <w:r>
        <w:rPr>
          <w:b/>
          <w:bCs/>
        </w:rPr>
        <w:t xml:space="preserve">The cost-synergy timetable remains the most important catalyst.</w:t>
      </w:r>
      <w:r>
        <w:br/>
      </w:r>
      <w:r>
        <w:t xml:space="preserve">FITB continues to target</w:t>
      </w:r>
      <w:r>
        <w:t xml:space="preserve"> </w:t>
      </w:r>
      <m:oMath>
        <m:r>
          <m:t>360</m:t>
        </m:r>
        <m:r>
          <m:t>M</m:t>
        </m:r>
        <m:r>
          <m:t>o</m:t>
        </m:r>
        <m:r>
          <m:t>f</m:t>
        </m:r>
        <m:r>
          <m:t>n</m:t>
        </m:r>
        <m:r>
          <m:t>e</m:t>
        </m:r>
        <m:r>
          <m:t>t</m:t>
        </m:r>
        <m:r>
          <m:t>c</m:t>
        </m:r>
        <m:r>
          <m:t>o</m:t>
        </m:r>
        <m:r>
          <m:t>s</m:t>
        </m:r>
        <m:r>
          <m:t>t</m:t>
        </m:r>
        <m:r>
          <m:t>s</m:t>
        </m:r>
        <m:r>
          <m:t>a</m:t>
        </m:r>
        <m:r>
          <m:t>v</m:t>
        </m:r>
        <m:r>
          <m:t>i</m:t>
        </m:r>
        <m:r>
          <m:t>n</m:t>
        </m:r>
        <m:r>
          <m:t>g</m:t>
        </m:r>
        <m:r>
          <m:t>s</m:t>
        </m:r>
        <m:r>
          <m:t>i</m:t>
        </m:r>
        <m:r>
          <m:t>n</m:t>
        </m:r>
        <m:r>
          <m:t>2026</m:t>
        </m:r>
        <m:r>
          <m:rPr>
            <m:sty m:val="p"/>
          </m:rPr>
          <m:t>*</m:t>
        </m:r>
        <m:r>
          <m:rPr>
            <m:sty m:val="p"/>
          </m:rPr>
          <m:t>*</m:t>
        </m:r>
        <m:r>
          <m:t>a</m:t>
        </m:r>
        <m:r>
          <m:t>n</m:t>
        </m:r>
        <m:r>
          <m:t>d</m:t>
        </m:r>
        <m:r>
          <m:t>a</m:t>
        </m:r>
        <m:r>
          <m:t>n</m:t>
        </m:r>
        <m:r>
          <m:rPr>
            <m:sty m:val="p"/>
          </m:rPr>
          <m:t>*</m:t>
        </m:r>
        <m:r>
          <m:rPr>
            <m:sty m:val="p"/>
          </m:rPr>
          <m:t>*</m:t>
        </m:r>
      </m:oMath>
      <w:r>
        <w:rPr>
          <w:b/>
          <w:bCs/>
        </w:rPr>
        <w:t xml:space="preserve">850M annualized cost-savings run rate by 4Q26</w:t>
      </w:r>
      <w:r>
        <w:t xml:space="preserve">. The upcoming Labor Day systems conversion is the pivotal execution event because it unlocks branch consolidations and a more meaningful part of the expense takeout.</w:t>
      </w:r>
    </w:p>
    <w:p>
      <w:pPr>
        <w:numPr>
          <w:ilvl w:val="0"/>
          <w:numId w:val="1001"/>
        </w:numPr>
      </w:pPr>
      <w:r>
        <w:rPr>
          <w:b/>
          <w:bCs/>
        </w:rPr>
        <w:t xml:space="preserve">Revenue synergies appear credible, but remain upside rather than base case.</w:t>
      </w:r>
      <w:r>
        <w:br/>
      </w:r>
      <w:r>
        <w:t xml:space="preserve">Management has highlighted early wins in capital markets, asset-based lending, treasury management, consumer deposits, and specialty businesses such as dealer services and technology/life sciences. FITB has discussed roughly</w:t>
      </w:r>
      <w:r>
        <w:t xml:space="preserve"> </w:t>
      </w:r>
      <w:r>
        <w:rPr>
          <w:b/>
          <w:bCs/>
        </w:rPr>
        <w:t xml:space="preserve">$500M of cumulative revenue opportunities over three to five years</w:t>
      </w:r>
      <w:r>
        <w:t xml:space="preserve">, none of which was embedded in the original 2027 profitability guide.</w:t>
      </w:r>
    </w:p>
    <w:p>
      <w:pPr>
        <w:numPr>
          <w:ilvl w:val="0"/>
          <w:numId w:val="1001"/>
        </w:numPr>
      </w:pPr>
      <w:r>
        <w:rPr>
          <w:b/>
          <w:bCs/>
        </w:rPr>
        <w:t xml:space="preserve">Credit trends have been solid.</w:t>
      </w:r>
      <w:r>
        <w:br/>
      </w:r>
      <w:r>
        <w:t xml:space="preserve">In 1Q, net charge-offs were 37 bps, nonperforming assets were 0.57% of loans plus OREO, and the reserve coverage of nonperforming assets improved. The company’s commentary through June suggested no meaningful deterioration.</w:t>
      </w:r>
    </w:p>
    <w:bookmarkEnd w:id="11"/>
    <w:bookmarkStart w:id="12" w:name="what-could-disappoint"/>
    <w:p>
      <w:pPr>
        <w:pStyle w:val="Heading3"/>
      </w:pPr>
      <w:r>
        <w:t xml:space="preserve">What could disappoint</w:t>
      </w:r>
    </w:p>
    <w:p>
      <w:pPr>
        <w:numPr>
          <w:ilvl w:val="0"/>
          <w:numId w:val="1002"/>
        </w:numPr>
      </w:pPr>
      <w:r>
        <w:rPr>
          <w:b/>
          <w:bCs/>
        </w:rPr>
        <w:t xml:space="preserve">A good quarter may already be expected.</w:t>
      </w:r>
      <w:r>
        <w:br/>
      </w:r>
      <w:r>
        <w:t xml:space="preserve">With FITB outperforming regional-bank peers year to date, the market likely expects confirmation that NII, expenses, credit, and integration are all on track. A guide reiteration without visible upside could be treated as insufficient.</w:t>
      </w:r>
    </w:p>
    <w:p>
      <w:pPr>
        <w:numPr>
          <w:ilvl w:val="0"/>
          <w:numId w:val="1002"/>
        </w:numPr>
      </w:pPr>
      <w:r>
        <w:rPr>
          <w:b/>
          <w:bCs/>
        </w:rPr>
        <w:t xml:space="preserve">Loan growth may come with some spread pressure.</w:t>
      </w:r>
      <w:r>
        <w:br/>
      </w:r>
      <w:r>
        <w:t xml:space="preserve">Management has characterized C&amp;I loan competition as rational but acknowledged mild spread compression. A larger-than-expected deterioration in loan yields—or stronger deposit pricing to support growth—would challenge the expected NIM trajectory.</w:t>
      </w:r>
    </w:p>
    <w:p>
      <w:pPr>
        <w:numPr>
          <w:ilvl w:val="0"/>
          <w:numId w:val="1002"/>
        </w:numPr>
      </w:pPr>
      <w:r>
        <w:rPr>
          <w:b/>
          <w:bCs/>
        </w:rPr>
        <w:t xml:space="preserve">Integration risk rises into the Labor Day conversion.</w:t>
      </w:r>
      <w:r>
        <w:br/>
      </w:r>
      <w:r>
        <w:t xml:space="preserve">The first mock conversion reportedly surfaced expected data and sequencing issues, including the need to build a master customer file for Comerica. That is not necessarily negative, but investors should listen closely for whether the next mock conversions are clean and whether the Labor Day timing remains fully intact.</w:t>
      </w:r>
    </w:p>
    <w:p>
      <w:pPr>
        <w:numPr>
          <w:ilvl w:val="0"/>
          <w:numId w:val="1002"/>
        </w:numPr>
      </w:pPr>
      <w:r>
        <w:rPr>
          <w:b/>
          <w:bCs/>
        </w:rPr>
        <w:t xml:space="preserve">Credit normalization remains a latent risk.</w:t>
      </w:r>
      <w:r>
        <w:br/>
      </w:r>
      <w:r>
        <w:t xml:space="preserve">FITB’s exposure profile appears relatively conservative—management has emphasized limited private-credit, data-center, and lower-income consumer exposure—but the combined company has a much larger commercial portfolio. Investors should watch criticized-asset trends, 30–89-day delinquencies, commercial real estate migration, and losses in solar/Dividend Finance-related lending.</w:t>
      </w:r>
    </w:p>
    <w:bookmarkEnd w:id="12"/>
    <w:bookmarkEnd w:id="13"/>
    <w:bookmarkStart w:id="19" w:name="metrics-to-watch-on-the-release"/>
    <w:p>
      <w:pPr>
        <w:pStyle w:val="Heading2"/>
      </w:pPr>
      <w:r>
        <w:t xml:space="preserve">Metrics to watch on the release</w:t>
      </w:r>
    </w:p>
    <w:bookmarkStart w:id="14" w:name="X0aa8437854d0848255fac82e4812c198bdae072"/>
    <w:p>
      <w:pPr>
        <w:pStyle w:val="Heading3"/>
      </w:pPr>
      <w:r>
        <w:t xml:space="preserve">1. NII and NIM: confirmation of the 3.40% exit-rate path</w:t>
      </w:r>
    </w:p>
    <w:p>
      <w:pPr>
        <w:pStyle w:val="FirstParagraph"/>
      </w:pPr>
      <w:r>
        <w:t xml:space="preserve">The core ask is whether FITB lands within the</w:t>
      </w:r>
      <w:r>
        <w:t xml:space="preserve"> </w:t>
      </w:r>
      <m:oMath>
        <m:r>
          <m:t>2.20</m:t>
        </m:r>
        <m:r>
          <m:t>B</m:t>
        </m:r>
        <m:r>
          <m:rPr>
            <m:sty m:val="p"/>
          </m:rPr>
          <m:t>–</m:t>
        </m:r>
      </m:oMath>
      <w:r>
        <w:t xml:space="preserve">2.25B NII range and delivers the promised 3–5 bps of margin expansion.</w:t>
      </w:r>
    </w:p>
    <w:p>
      <w:pPr>
        <w:pStyle w:val="BodyText"/>
      </w:pPr>
      <w:r>
        <w:t xml:space="preserve">Key drivers:</w:t>
      </w:r>
    </w:p>
    <w:p>
      <w:pPr>
        <w:pStyle w:val="Compact"/>
        <w:numPr>
          <w:ilvl w:val="0"/>
          <w:numId w:val="1003"/>
        </w:numPr>
      </w:pPr>
      <w:r>
        <w:t xml:space="preserve">Full-quarter purchase-accounting accretion from Comerica loans;</w:t>
      </w:r>
    </w:p>
    <w:p>
      <w:pPr>
        <w:pStyle w:val="Compact"/>
        <w:numPr>
          <w:ilvl w:val="0"/>
          <w:numId w:val="1003"/>
        </w:numPr>
      </w:pPr>
      <w:r>
        <w:t xml:space="preserve">Securities portfolio repositioning and reinvestment at higher yields;</w:t>
      </w:r>
    </w:p>
    <w:p>
      <w:pPr>
        <w:pStyle w:val="Compact"/>
        <w:numPr>
          <w:ilvl w:val="0"/>
          <w:numId w:val="1003"/>
        </w:numPr>
      </w:pPr>
      <w:r>
        <w:t xml:space="preserve">Deposit beta and funding costs;</w:t>
      </w:r>
    </w:p>
    <w:p>
      <w:pPr>
        <w:pStyle w:val="Compact"/>
        <w:numPr>
          <w:ilvl w:val="0"/>
          <w:numId w:val="1003"/>
        </w:numPr>
      </w:pPr>
      <w:r>
        <w:t xml:space="preserve">Balance-sheet sensitivity if rates remain higher for longer;</w:t>
      </w:r>
    </w:p>
    <w:p>
      <w:pPr>
        <w:pStyle w:val="Compact"/>
        <w:numPr>
          <w:ilvl w:val="0"/>
          <w:numId w:val="1003"/>
        </w:numPr>
      </w:pPr>
      <w:r>
        <w:t xml:space="preserve">Mix between loans, cash, securities, and wholesale funding.</w:t>
      </w:r>
    </w:p>
    <w:p>
      <w:pPr>
        <w:pStyle w:val="FirstParagraph"/>
      </w:pPr>
      <w:r>
        <w:t xml:space="preserve">Management had indicated that purchase-accounting accretion on acquired loans was about $12M in 1Q and should rise to the mid-teens in 2Q with a full quarter of contribution. Investors should separate this temporary benefit from sustainable core-margin expansion.</w:t>
      </w:r>
    </w:p>
    <w:bookmarkEnd w:id="14"/>
    <w:bookmarkStart w:id="15" w:name="X95c03e5f7de38a5bfa3d6497f5576d9f9832c51"/>
    <w:p>
      <w:pPr>
        <w:pStyle w:val="Heading3"/>
      </w:pPr>
      <w:r>
        <w:t xml:space="preserve">2. Expense discipline and synergy realization</w:t>
      </w:r>
    </w:p>
    <w:p>
      <w:pPr>
        <w:pStyle w:val="FirstParagraph"/>
      </w:pPr>
      <w:r>
        <w:t xml:space="preserve">Recurring operating expense is the crucial number. FITB guided to</w:t>
      </w:r>
      <w:r>
        <w:t xml:space="preserve"> </w:t>
      </w:r>
      <m:oMath>
        <m:r>
          <m:t>1.87</m:t>
        </m:r>
        <m:r>
          <m:t>B</m:t>
        </m:r>
        <m:r>
          <m:rPr>
            <m:sty m:val="p"/>
          </m:rPr>
          <m:t>–</m:t>
        </m:r>
      </m:oMath>
      <w:r>
        <w:t xml:space="preserve">1.89B for 2Q and said June trends pointed toward the low end.</w:t>
      </w:r>
    </w:p>
    <w:p>
      <w:pPr>
        <w:pStyle w:val="BodyText"/>
      </w:pPr>
      <w:r>
        <w:t xml:space="preserve">The most constructive result would combine:</w:t>
      </w:r>
    </w:p>
    <w:p>
      <w:pPr>
        <w:pStyle w:val="Compact"/>
        <w:numPr>
          <w:ilvl w:val="0"/>
          <w:numId w:val="1004"/>
        </w:numPr>
      </w:pPr>
      <w:r>
        <w:t xml:space="preserve">Expense at or below the low end of guidance;</w:t>
      </w:r>
    </w:p>
    <w:p>
      <w:pPr>
        <w:pStyle w:val="Compact"/>
        <w:numPr>
          <w:ilvl w:val="0"/>
          <w:numId w:val="1004"/>
        </w:numPr>
      </w:pPr>
      <w:r>
        <w:t xml:space="preserve">No increase in expected merger charges;</w:t>
      </w:r>
    </w:p>
    <w:p>
      <w:pPr>
        <w:pStyle w:val="Compact"/>
        <w:numPr>
          <w:ilvl w:val="0"/>
          <w:numId w:val="1004"/>
        </w:numPr>
      </w:pPr>
      <w:r>
        <w:t xml:space="preserve">Reaffirmation of the $360M 2026 net-synergy target;</w:t>
      </w:r>
    </w:p>
    <w:p>
      <w:pPr>
        <w:pStyle w:val="Compact"/>
        <w:numPr>
          <w:ilvl w:val="0"/>
          <w:numId w:val="1004"/>
        </w:numPr>
      </w:pPr>
      <w:r>
        <w:t xml:space="preserve">A clear statement that Labor Day conversion and branch consolidation milestones remain on schedule.</w:t>
      </w:r>
    </w:p>
    <w:p>
      <w:pPr>
        <w:pStyle w:val="FirstParagraph"/>
      </w:pPr>
      <w:r>
        <w:t xml:space="preserve">The market will likely give FITB limited credit for simply reporting high GAAP expense if merger charges remain elevated; it will instead evaluate the underlying run rate and fourth-quarter operating leverage.</w:t>
      </w:r>
    </w:p>
    <w:bookmarkEnd w:id="15"/>
    <w:bookmarkStart w:id="16" w:name="Xff7596d6e72d03d140f92c38bc988c557b8a8c3"/>
    <w:p>
      <w:pPr>
        <w:pStyle w:val="Heading3"/>
      </w:pPr>
      <w:r>
        <w:t xml:space="preserve">3. Deposit quality</w:t>
      </w:r>
    </w:p>
    <w:p>
      <w:pPr>
        <w:pStyle w:val="FirstParagraph"/>
      </w:pPr>
      <w:r>
        <w:t xml:space="preserve">Look beyond total deposits to:</w:t>
      </w:r>
    </w:p>
    <w:p>
      <w:pPr>
        <w:pStyle w:val="Compact"/>
        <w:numPr>
          <w:ilvl w:val="0"/>
          <w:numId w:val="1005"/>
        </w:numPr>
      </w:pPr>
      <w:r>
        <w:t xml:space="preserve">Noninterest-bearing DDA mix;</w:t>
      </w:r>
    </w:p>
    <w:p>
      <w:pPr>
        <w:pStyle w:val="Compact"/>
        <w:numPr>
          <w:ilvl w:val="0"/>
          <w:numId w:val="1005"/>
        </w:numPr>
      </w:pPr>
      <w:r>
        <w:t xml:space="preserve">Interest-bearing deposit costs;</w:t>
      </w:r>
    </w:p>
    <w:p>
      <w:pPr>
        <w:pStyle w:val="Compact"/>
        <w:numPr>
          <w:ilvl w:val="0"/>
          <w:numId w:val="1005"/>
        </w:numPr>
      </w:pPr>
      <w:r>
        <w:t xml:space="preserve">Deposit growth in Texas, California, and Arizona;</w:t>
      </w:r>
    </w:p>
    <w:p>
      <w:pPr>
        <w:pStyle w:val="Compact"/>
        <w:numPr>
          <w:ilvl w:val="0"/>
          <w:numId w:val="1005"/>
        </w:numPr>
      </w:pPr>
      <w:r>
        <w:t xml:space="preserve">Retention and customer activity ahead of system conversion;</w:t>
      </w:r>
    </w:p>
    <w:p>
      <w:pPr>
        <w:pStyle w:val="Compact"/>
        <w:numPr>
          <w:ilvl w:val="0"/>
          <w:numId w:val="1005"/>
        </w:numPr>
      </w:pPr>
      <w:r>
        <w:t xml:space="preserve">Reliance on wholesale funding and the loan-to-core-deposit ratio.</w:t>
      </w:r>
    </w:p>
    <w:p>
      <w:pPr>
        <w:pStyle w:val="FirstParagraph"/>
      </w:pPr>
      <w:r>
        <w:t xml:space="preserve">The strategic attraction of Comerica was its commercial deposit base. Evidence that FITB can use its consumer marketing, digital-account-opening capability, payments products, and branch buildout to deepen those relationships would strengthen the long-term merger thesis.</w:t>
      </w:r>
    </w:p>
    <w:bookmarkEnd w:id="16"/>
    <w:bookmarkStart w:id="17" w:name="X7a9c9aadf32f5602d07d18614e4260aafdcc219"/>
    <w:p>
      <w:pPr>
        <w:pStyle w:val="Heading3"/>
      </w:pPr>
      <w:r>
        <w:t xml:space="preserve">4. Fee-income breadth</w:t>
      </w:r>
    </w:p>
    <w:p>
      <w:pPr>
        <w:pStyle w:val="FirstParagraph"/>
      </w:pPr>
      <w:r>
        <w:t xml:space="preserve">FITB’s noninterest-income guide of</w:t>
      </w:r>
      <w:r>
        <w:t xml:space="preserve"> </w:t>
      </w:r>
      <m:oMath>
        <m:r>
          <m:t>1.00</m:t>
        </m:r>
        <m:r>
          <m:t>B</m:t>
        </m:r>
        <m:r>
          <m:rPr>
            <m:sty m:val="p"/>
          </m:rPr>
          <m:t>–</m:t>
        </m:r>
      </m:oMath>
      <w:r>
        <w:t xml:space="preserve">1.06B rests on several businesses rather than a single volatile source:</w:t>
      </w:r>
    </w:p>
    <w:p>
      <w:pPr>
        <w:pStyle w:val="Compact"/>
        <w:numPr>
          <w:ilvl w:val="0"/>
          <w:numId w:val="1006"/>
        </w:numPr>
      </w:pPr>
      <w:r>
        <w:rPr>
          <w:b/>
          <w:bCs/>
        </w:rPr>
        <w:t xml:space="preserve">Commercial payments:</w:t>
      </w:r>
      <w:r>
        <w:t xml:space="preserve"> </w:t>
      </w:r>
      <w:r>
        <w:t xml:space="preserve">Newline and Direct Express;</w:t>
      </w:r>
    </w:p>
    <w:p>
      <w:pPr>
        <w:pStyle w:val="Compact"/>
        <w:numPr>
          <w:ilvl w:val="0"/>
          <w:numId w:val="1006"/>
        </w:numPr>
      </w:pPr>
      <w:r>
        <w:rPr>
          <w:b/>
          <w:bCs/>
        </w:rPr>
        <w:t xml:space="preserve">Wealth and asset management:</w:t>
      </w:r>
      <w:r>
        <w:t xml:space="preserve"> </w:t>
      </w:r>
      <w:r>
        <w:t xml:space="preserve">market levels plus cross-selling;</w:t>
      </w:r>
    </w:p>
    <w:p>
      <w:pPr>
        <w:pStyle w:val="Compact"/>
        <w:numPr>
          <w:ilvl w:val="0"/>
          <w:numId w:val="1006"/>
        </w:numPr>
      </w:pPr>
      <w:r>
        <w:rPr>
          <w:b/>
          <w:bCs/>
        </w:rPr>
        <w:t xml:space="preserve">Capital markets:</w:t>
      </w:r>
      <w:r>
        <w:t xml:space="preserve"> </w:t>
      </w:r>
      <w:r>
        <w:t xml:space="preserve">hedging, bond underwriting, and client activity;</w:t>
      </w:r>
    </w:p>
    <w:p>
      <w:pPr>
        <w:pStyle w:val="Compact"/>
        <w:numPr>
          <w:ilvl w:val="0"/>
          <w:numId w:val="1006"/>
        </w:numPr>
      </w:pPr>
      <w:r>
        <w:rPr>
          <w:b/>
          <w:bCs/>
        </w:rPr>
        <w:t xml:space="preserve">Commercial banking fees:</w:t>
      </w:r>
      <w:r>
        <w:t xml:space="preserve"> </w:t>
      </w:r>
      <w:r>
        <w:t xml:space="preserve">stronger relationships and acquired client base.</w:t>
      </w:r>
    </w:p>
    <w:p>
      <w:pPr>
        <w:pStyle w:val="FirstParagraph"/>
      </w:pPr>
      <w:r>
        <w:t xml:space="preserve">The best signal would be broad-based growth rather than a capital-markets-driven beat.</w:t>
      </w:r>
    </w:p>
    <w:bookmarkEnd w:id="17"/>
    <w:bookmarkStart w:id="18" w:name="X23a9f04e15621bc0be5bfecea524f3da3a7073b"/>
    <w:p>
      <w:pPr>
        <w:pStyle w:val="Heading3"/>
      </w:pPr>
      <w:r>
        <w:t xml:space="preserve">5. Credit and reserve commentary</w:t>
      </w:r>
    </w:p>
    <w:p>
      <w:pPr>
        <w:pStyle w:val="FirstParagraph"/>
      </w:pPr>
      <w:r>
        <w:t xml:space="preserve">The 30–35 bp NCO guide is conservative relative to the 37 bp reported in 1Q. A result near 30 bps would be favorable, but investors should also scrutinize:</w:t>
      </w:r>
    </w:p>
    <w:p>
      <w:pPr>
        <w:pStyle w:val="Compact"/>
        <w:numPr>
          <w:ilvl w:val="0"/>
          <w:numId w:val="1007"/>
        </w:numPr>
      </w:pPr>
      <w:r>
        <w:t xml:space="preserve">Commercial criticized and classified-loan migration;</w:t>
      </w:r>
    </w:p>
    <w:p>
      <w:pPr>
        <w:pStyle w:val="Compact"/>
        <w:numPr>
          <w:ilvl w:val="0"/>
          <w:numId w:val="1007"/>
        </w:numPr>
      </w:pPr>
      <w:r>
        <w:t xml:space="preserve">C&amp;I and CRE delinquencies;</w:t>
      </w:r>
    </w:p>
    <w:p>
      <w:pPr>
        <w:pStyle w:val="Compact"/>
        <w:numPr>
          <w:ilvl w:val="0"/>
          <w:numId w:val="1007"/>
        </w:numPr>
      </w:pPr>
      <w:r>
        <w:t xml:space="preserve">Consumer auto, credit card, solar, and other unsecured-loss trends;</w:t>
      </w:r>
    </w:p>
    <w:p>
      <w:pPr>
        <w:pStyle w:val="Compact"/>
        <w:numPr>
          <w:ilvl w:val="0"/>
          <w:numId w:val="1007"/>
        </w:numPr>
      </w:pPr>
      <w:r>
        <w:t xml:space="preserve">Provision relative to net charge-offs;</w:t>
      </w:r>
    </w:p>
    <w:p>
      <w:pPr>
        <w:pStyle w:val="Compact"/>
        <w:numPr>
          <w:ilvl w:val="0"/>
          <w:numId w:val="1007"/>
        </w:numPr>
      </w:pPr>
      <w:r>
        <w:t xml:space="preserve">ACL ratio and qualitative overlays.</w:t>
      </w:r>
    </w:p>
    <w:bookmarkEnd w:id="18"/>
    <w:bookmarkEnd w:id="19"/>
    <w:bookmarkStart w:id="20" w:name="capital-and-valuation-considerations"/>
    <w:p>
      <w:pPr>
        <w:pStyle w:val="Heading2"/>
      </w:pPr>
      <w:r>
        <w:t xml:space="preserve">Capital and valuation considerations</w:t>
      </w:r>
    </w:p>
    <w:p>
      <w:pPr>
        <w:pStyle w:val="FirstParagraph"/>
      </w:pPr>
      <w:r>
        <w:t xml:space="preserve">FITB ended 1Q with a 9.96% CET1 ratio, down after issuing equity to close the Comerica transaction but within its newly stated 10.0%–10.5% operating target range. Management has said it expects to resume regular quarterly buybacks in the second half of 2026, although the size and timing depend on organic growth and remaining merger charges.</w:t>
      </w:r>
    </w:p>
    <w:p>
      <w:pPr>
        <w:pStyle w:val="BodyText"/>
      </w:pPr>
      <w:r>
        <w:t xml:space="preserve">At the July 16 price, FITB trades at roughly</w:t>
      </w:r>
      <w:r>
        <w:t xml:space="preserve"> </w:t>
      </w:r>
      <w:r>
        <w:rPr>
          <w:b/>
          <w:bCs/>
        </w:rPr>
        <w:t xml:space="preserve">2.6x March tangible book value per share</w:t>
      </w:r>
      <w:r>
        <w:t xml:space="preserve"> </w:t>
      </w:r>
      <w:r>
        <w:t xml:space="preserve">and</w:t>
      </w:r>
      <w:r>
        <w:t xml:space="preserve"> </w:t>
      </w:r>
      <w:r>
        <w:rPr>
          <w:b/>
          <w:bCs/>
        </w:rPr>
        <w:t xml:space="preserve">1.7x reported book value per share</w:t>
      </w:r>
      <w:r>
        <w:t xml:space="preserve">—a valuation that places meaningful importance on delivering the promised improvement in returns and efficiency.</w:t>
      </w:r>
    </w:p>
    <w:p>
      <w:pPr>
        <w:pStyle w:val="BodyText"/>
      </w:pPr>
      <w:r>
        <w:t xml:space="preserve">The capital-return question for this quarter is therefore less “Will buybacks restart immediately?” and more:</w:t>
      </w:r>
    </w:p>
    <w:p>
      <w:pPr>
        <w:pStyle w:val="Compact"/>
        <w:numPr>
          <w:ilvl w:val="0"/>
          <w:numId w:val="1008"/>
        </w:numPr>
      </w:pPr>
      <w:r>
        <w:t xml:space="preserve">Is CET1 progressing as expected?</w:t>
      </w:r>
    </w:p>
    <w:p>
      <w:pPr>
        <w:pStyle w:val="Compact"/>
        <w:numPr>
          <w:ilvl w:val="0"/>
          <w:numId w:val="1008"/>
        </w:numPr>
      </w:pPr>
      <w:r>
        <w:t xml:space="preserve">Is tangible common equity staying above management’s implicit comfort level?</w:t>
      </w:r>
    </w:p>
    <w:p>
      <w:pPr>
        <w:pStyle w:val="Compact"/>
        <w:numPr>
          <w:ilvl w:val="0"/>
          <w:numId w:val="1008"/>
        </w:numPr>
      </w:pPr>
      <w:r>
        <w:t xml:space="preserve">Does loan growth consume capital at an attractive return?</w:t>
      </w:r>
    </w:p>
    <w:p>
      <w:pPr>
        <w:pStyle w:val="Compact"/>
        <w:numPr>
          <w:ilvl w:val="0"/>
          <w:numId w:val="1008"/>
        </w:numPr>
      </w:pPr>
      <w:r>
        <w:t xml:space="preserve">Is the merger generating enough internal capital to support both growth and future repurchases?</w:t>
      </w:r>
    </w:p>
    <w:bookmarkEnd w:id="20"/>
    <w:bookmarkStart w:id="21" w:name="bottom-line"/>
    <w:p>
      <w:pPr>
        <w:pStyle w:val="Heading2"/>
      </w:pPr>
      <w:r>
        <w:t xml:space="preserve">Bottom line</w:t>
      </w:r>
    </w:p>
    <w:p>
      <w:pPr>
        <w:pStyle w:val="FirstParagraph"/>
      </w:pPr>
      <w:r>
        <w:rPr>
          <w:b/>
          <w:bCs/>
        </w:rPr>
        <w:t xml:space="preserve">The base case is for a clean, on-track report rather than a dramatic headline surprise.</w:t>
      </w:r>
      <w:r>
        <w:t xml:space="preserve"> </w:t>
      </w:r>
      <w:r>
        <w:t xml:space="preserve">FITB has already telegraphed a constructive setup: NII and fees in line, expenses toward the low end, credit near the better end of the range, and integration on schedule. The strongest outcome would be a modest PPNR beat, NIM at the upper half of the guided expansion range, low-end expense and charge-offs, and confidence that the Labor Day conversion will proceed without delay.</w:t>
      </w:r>
    </w:p>
    <w:p>
      <w:pPr>
        <w:pStyle w:val="BodyText"/>
      </w:pPr>
      <w:r>
        <w:t xml:space="preserve">For the shares, however, the most consequential disclosures will be forward-looking:</w:t>
      </w:r>
    </w:p>
    <w:p>
      <w:pPr>
        <w:pStyle w:val="Compact"/>
        <w:numPr>
          <w:ilvl w:val="0"/>
          <w:numId w:val="1009"/>
        </w:numPr>
      </w:pPr>
      <w:r>
        <w:rPr>
          <w:b/>
          <w:bCs/>
        </w:rPr>
        <w:t xml:space="preserve">Is the 3.40% year-end NIM trajectory intact or improving?</w:t>
      </w:r>
    </w:p>
    <w:p>
      <w:pPr>
        <w:pStyle w:val="Compact"/>
        <w:numPr>
          <w:ilvl w:val="0"/>
          <w:numId w:val="1009"/>
        </w:numPr>
      </w:pPr>
      <w:r>
        <w:rPr>
          <w:b/>
          <w:bCs/>
        </w:rPr>
        <w:t xml:space="preserve">Are the $850M fourth-quarter cost-synergy run-rate and Labor Day conversion still fully on track?</w:t>
      </w:r>
    </w:p>
    <w:p>
      <w:pPr>
        <w:pStyle w:val="Compact"/>
        <w:numPr>
          <w:ilvl w:val="0"/>
          <w:numId w:val="1009"/>
        </w:numPr>
      </w:pPr>
      <w:r>
        <w:rPr>
          <w:b/>
          <w:bCs/>
        </w:rPr>
        <w:t xml:space="preserve">Is deposit growth in the former Comerica markets proving both strong and durable?</w:t>
      </w:r>
    </w:p>
    <w:p>
      <w:pPr>
        <w:pStyle w:val="Compact"/>
        <w:numPr>
          <w:ilvl w:val="0"/>
          <w:numId w:val="1009"/>
        </w:numPr>
      </w:pPr>
      <w:r>
        <w:rPr>
          <w:b/>
          <w:bCs/>
        </w:rPr>
        <w:t xml:space="preserve">Can FITB show that revenue synergies are becoming tangible without compromising credit or pricing discipline?</w:t>
      </w:r>
    </w:p>
    <w:p>
      <w:pPr>
        <w:pStyle w:val="Compact"/>
        <w:numPr>
          <w:ilvl w:val="0"/>
          <w:numId w:val="1009"/>
        </w:numPr>
      </w:pPr>
      <w:r>
        <w:rPr>
          <w:b/>
          <w:bCs/>
        </w:rPr>
        <w:t xml:space="preserve">Does management sound more confident about second-half buybacks and the path to its 2027 return targets?</w:t>
      </w:r>
    </w:p>
    <w:p>
      <w:pPr>
        <w:pStyle w:val="FirstParagraph"/>
      </w:pPr>
      <w:r>
        <w:t xml:space="preserve">A reaffirmation of all five would support the premium valuation. Any slippage in conversion readiness, expense-savings timing, deposit retention, or credit quality would matter disproportionately after the stock’s strong run.</w:t>
      </w:r>
    </w:p>
    <w:bookmarkEnd w:id="21"/>
    <w:bookmarkEnd w:id="2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2026-07-17T00:09:52Z</dcterms:created>
  <dcterms:modified xsi:type="dcterms:W3CDTF">2026-07-17T00:09:52Z</dcterms:modified>
</cp:coreProperties>
</file>

<file path=docProps/custom.xml><?xml version="1.0" encoding="utf-8"?>
<Properties xmlns="http://schemas.openxmlformats.org/officeDocument/2006/custom-properties" xmlns:vt="http://schemas.openxmlformats.org/officeDocument/2006/docPropsVTypes"/>
</file>