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Fifth Third Bancorp (FITB)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Fifth Third Bancorp</w:t>
            </w:r>
          </w:p>
        </w:tc>
      </w:tr>
      <w:tr>
        <w:tc>
          <w:tcPr>
            <w:tcW w:type="dxa" w:w="4320"/>
          </w:tcPr>
          <w:p>
            <w:r>
              <w:rPr>
                <w:rFonts w:ascii="Calibri" w:hAnsi="Calibri"/>
                <w:b/>
                <w:sz w:val="22"/>
              </w:rPr>
              <w:t>Ticker</w:t>
            </w:r>
          </w:p>
        </w:tc>
        <w:tc>
          <w:tcPr>
            <w:tcW w:type="dxa" w:w="4320"/>
          </w:tcPr>
          <w:p>
            <w:r>
              <w:rPr>
                <w:rFonts w:ascii="Calibri" w:hAnsi="Calibri"/>
                <w:sz w:val="22"/>
              </w:rPr>
              <w:t>FITB</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Expected Earnings Date</w:t>
            </w:r>
          </w:p>
        </w:tc>
        <w:tc>
          <w:tcPr>
            <w:tcW w:type="dxa" w:w="4320"/>
          </w:tcPr>
          <w:p>
            <w:r>
              <w:rPr>
                <w:rFonts w:ascii="Calibri" w:hAnsi="Calibri"/>
                <w:sz w:val="22"/>
              </w:rPr>
              <w:t>Mid-July 2026</w:t>
            </w:r>
          </w:p>
        </w:tc>
      </w:tr>
      <w:tr>
        <w:tc>
          <w:tcPr>
            <w:tcW w:type="dxa" w:w="4320"/>
          </w:tcPr>
          <w:p>
            <w:r>
              <w:rPr>
                <w:rFonts w:ascii="Calibri" w:hAnsi="Calibri"/>
                <w:b/>
                <w:sz w:val="22"/>
              </w:rPr>
              <w:t>Prepared</w:t>
            </w:r>
          </w:p>
        </w:tc>
        <w:tc>
          <w:tcPr>
            <w:tcW w:type="dxa" w:w="4320"/>
          </w:tcPr>
          <w:p>
            <w:r>
              <w:rPr>
                <w:rFonts w:ascii="Calibri" w:hAnsi="Calibri"/>
                <w:sz w:val="22"/>
              </w:rPr>
              <w:t>July 16, 2026</w:t>
            </w:r>
          </w:p>
        </w:tc>
      </w:tr>
      <w:tr>
        <w:tc>
          <w:tcPr>
            <w:tcW w:type="dxa" w:w="4320"/>
          </w:tcPr>
          <w:p>
            <w:r>
              <w:rPr>
                <w:rFonts w:ascii="Calibri" w:hAnsi="Calibri"/>
                <w:b/>
                <w:sz w:val="22"/>
              </w:rPr>
              <w:t>Last Earnings</w:t>
            </w:r>
          </w:p>
        </w:tc>
        <w:tc>
          <w:tcPr>
            <w:tcW w:type="dxa" w:w="4320"/>
          </w:tcPr>
          <w:p>
            <w:r>
              <w:rPr>
                <w:rFonts w:ascii="Calibri" w:hAnsi="Calibri"/>
                <w:sz w:val="22"/>
              </w:rPr>
              <w:t>Q1 2026 — April 17,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FITB heads into Q2 with a constructive setup — </w:t>
      </w:r>
      <w:r>
        <w:rPr>
          <w:rFonts w:ascii="Calibri" w:hAnsi="Calibri"/>
          <w:b/>
          <w:color w:val="525866"/>
          <w:sz w:val="22"/>
        </w:rPr>
        <w:t>NII is tracking above initial guidance, credit is leaning toward the low end of the guided range, and the Comerica integration is ahead of schedule.</w:t>
      </w:r>
      <w:r>
        <w:rPr>
          <w:rFonts w:ascii="Calibri" w:hAnsi="Calibri"/>
          <w:color w:val="525866"/>
          <w:sz w:val="22"/>
        </w:rPr>
        <w:t xml:space="preserve"> The key swing factor is whether NII and NIM expansion can clear the raised post-Q1 consensus bar, with the Southwest deposit campaign and system conversion timeline serving as the key wildcards.</w:t>
      </w:r>
    </w:p>
    <w:p>
      <w:r>
        <w:rPr>
          <w:rFonts w:ascii="Calibri" w:hAnsi="Calibri"/>
          <w:color w:val="525866"/>
          <w:sz w:val="22"/>
        </w:rPr>
        <w:t xml:space="preserve">FITB enters Q2 2026 earnings with management having explicitly guided that Q2 is “tracking slightly better than original guidance” on both expenses and credit, with charge-offs leaning toward the low end of the 30–35 bps guided range and PPNR expected to come in slightly better than originally guided. </w:t>
      </w:r>
      <w:r>
        <w:rPr>
          <w:rFonts w:ascii="Calibri" w:hAnsi="Calibri"/>
          <w:b/>
          <w:color w:val="525866"/>
          <w:sz w:val="22"/>
        </w:rPr>
        <w:t>Consensus NII of ~$2.21B sits just below the top of the $2.20–$2.25B guided range</w:t>
      </w:r>
      <w:r>
        <w:rPr>
          <w:rFonts w:ascii="Calibri" w:hAnsi="Calibri"/>
          <w:color w:val="525866"/>
          <w:sz w:val="22"/>
        </w:rPr>
        <w:t xml:space="preserve">, suggesting the bar is achievable but not easy to clear. Estimate revisions have been modestly positive since Q1 earnings — Q2 NII consensus moved from ~$2.22B to ~$2.21B (essentially flat), while FY2026 NII consensus moved from ~$8.73B to ~$8.74B — indicating the Street has largely priced in management’s guidance without building in meaningful upside. </w:t>
      </w:r>
      <w:r>
        <w:rPr>
          <w:rFonts w:ascii="Calibri" w:hAnsi="Calibri"/>
          <w:b/>
          <w:color w:val="525866"/>
          <w:sz w:val="22"/>
        </w:rPr>
        <w:t>The stock has outperformed significantly since Q1 earnings (+17.9% vs KRE +10.7% and SPY +5.7%)</w:t>
      </w:r>
      <w:r>
        <w:rPr>
          <w:rFonts w:ascii="Calibri" w:hAnsi="Calibri"/>
          <w:color w:val="525866"/>
          <w:sz w:val="22"/>
        </w:rPr>
        <w:t xml:space="preserve">, suggesting some beat expectations are already embedded in the price. The wildcard is the </w:t>
      </w:r>
      <w:r>
        <w:rPr>
          <w:rFonts w:ascii="Calibri" w:hAnsi="Calibri"/>
          <w:b/>
          <w:color w:val="525866"/>
          <w:sz w:val="22"/>
        </w:rPr>
        <w:t>Labor Day weekend system conversion</w:t>
      </w:r>
      <w:r>
        <w:rPr>
          <w:rFonts w:ascii="Calibri" w:hAnsi="Calibri"/>
          <w:color w:val="525866"/>
          <w:sz w:val="22"/>
        </w:rPr>
        <w:t xml:space="preserve"> — any update on mock conversion learnings or timeline risk could move the stock, as could the pace of Southwest deposit campaign inflows and whether the $1B deposit target from the 6-million-household mailing is tracking ahead of plan.</w:t>
      </w:r>
    </w:p>
    <w:p>
      <w:pPr>
        <w:pStyle w:val="ListBullet"/>
        <w:ind w:left="360" w:hanging="360"/>
      </w:pPr>
      <w:r>
        <w:rPr>
          <w:rFonts w:ascii="Calibri" w:hAnsi="Calibri"/>
          <w:b/>
          <w:color w:val="525866"/>
          <w:sz w:val="22"/>
        </w:rPr>
        <w:t xml:space="preserve">Bar: </w:t>
      </w:r>
      <w:r>
        <w:rPr>
          <w:rFonts w:ascii="Calibri" w:hAnsi="Calibri"/>
          <w:color w:val="525866"/>
          <w:sz w:val="22"/>
        </w:rPr>
        <w:t>Consensus NII of ~$2.21B sits near the midpoint of the $2.20–$2.25B guided range; management’s own commentary suggests Q2 is tracking slightly better than original guidance, implying the bar is achievable.</w:t>
      </w:r>
    </w:p>
    <w:p>
      <w:pPr>
        <w:pStyle w:val="ListBullet"/>
        <w:ind w:left="360" w:hanging="360"/>
      </w:pPr>
      <w:r>
        <w:rPr>
          <w:rFonts w:ascii="Calibri" w:hAnsi="Calibri"/>
          <w:b/>
          <w:color w:val="525866"/>
          <w:sz w:val="22"/>
        </w:rPr>
        <w:t xml:space="preserve">Guidance/Tone: </w:t>
      </w:r>
      <w:r>
        <w:rPr>
          <w:rFonts w:ascii="Calibri" w:hAnsi="Calibri"/>
          <w:color w:val="525866"/>
          <w:sz w:val="22"/>
        </w:rPr>
        <w:t>Management tone has shifted from cautiously optimistic to increasingly confident — Q2 is tracking ahead on both expenses and credit, and the Southwest deposit campaign is dramatically exceeding initial targets.</w:t>
      </w:r>
    </w:p>
    <w:p>
      <w:pPr>
        <w:pStyle w:val="ListBullet"/>
        <w:ind w:left="360" w:hanging="360"/>
      </w:pPr>
      <w:r>
        <w:rPr>
          <w:rFonts w:ascii="Calibri" w:hAnsi="Calibri"/>
          <w:b/>
          <w:color w:val="525866"/>
          <w:sz w:val="22"/>
        </w:rPr>
        <w:t xml:space="preserve">Estimate Trajectory: </w:t>
      </w:r>
      <w:r>
        <w:rPr>
          <w:rFonts w:ascii="Calibri" w:hAnsi="Calibri"/>
          <w:color w:val="525866"/>
          <w:sz w:val="22"/>
        </w:rPr>
        <w:t>Revisions have been modestly positive since Q1 earnings, with FY2026 NII consensus up slightly to ~$8.74B; the Street is largely tracking guidance without building in meaningful upside.</w:t>
      </w:r>
    </w:p>
    <w:p>
      <w:pPr>
        <w:pStyle w:val="ListBullet"/>
        <w:ind w:left="360" w:hanging="360"/>
      </w:pPr>
      <w:r>
        <w:rPr>
          <w:rFonts w:ascii="Calibri" w:hAnsi="Calibri"/>
          <w:b/>
          <w:color w:val="525866"/>
          <w:sz w:val="22"/>
        </w:rPr>
        <w:t xml:space="preserve">Stock Setup: </w:t>
      </w:r>
      <w:r>
        <w:rPr>
          <w:rFonts w:ascii="Calibri" w:hAnsi="Calibri"/>
          <w:color w:val="525866"/>
          <w:sz w:val="22"/>
        </w:rPr>
        <w:t>FITB has outperformed KRE by ~720 bps and SPY by ~1,220 bps since Q1 earnings, suggesting some beat expectations are priced in; the stock is not cheap heading into the print.</w:t>
      </w:r>
    </w:p>
    <w:p>
      <w:pPr>
        <w:pStyle w:val="ListBullet"/>
        <w:ind w:left="360" w:hanging="360"/>
      </w:pPr>
      <w:r>
        <w:rPr>
          <w:rFonts w:ascii="Calibri" w:hAnsi="Calibri"/>
          <w:b/>
          <w:color w:val="525866"/>
          <w:sz w:val="22"/>
        </w:rPr>
        <w:t xml:space="preserve">Wildcard: </w:t>
      </w:r>
      <w:r>
        <w:rPr>
          <w:rFonts w:ascii="Calibri" w:hAnsi="Calibri"/>
          <w:color w:val="525866"/>
          <w:sz w:val="22"/>
        </w:rPr>
        <w:t>The Labor Day weekend system conversion and Southwest deposit campaign pace — any update on mock conversion learnings or deposit inflow tracking vs. the $1B target could be the biggest stock mover.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NII is the primary swing factor — consensus sits near the midpoint of guidance, and management’s own commentary suggests Q2 is tracking slightly better. </w:t>
      </w:r>
      <w:r>
        <w:rPr>
          <w:rFonts w:ascii="Calibri" w:hAnsi="Calibri"/>
          <w:b/>
          <w:color w:val="525866"/>
          <w:sz w:val="22"/>
        </w:rPr>
        <w:t>Credit quality (NCO ratio) is the secondary watch item</w:t>
      </w:r>
      <w:r>
        <w:rPr>
          <w:rFonts w:ascii="Calibri" w:hAnsi="Calibri"/>
          <w:color w:val="525866"/>
          <w:sz w:val="22"/>
        </w:rPr>
        <w:t>, with management guiding toward the low end of the 30–35 bps range.</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Interest Income</w:t>
            </w:r>
          </w:p>
        </w:tc>
        <w:tc>
          <w:tcPr>
            <w:tcW w:type="dxa" w:w="1234"/>
          </w:tcPr>
          <w:p>
            <w:r>
              <w:rPr>
                <w:rFonts w:ascii="Calibri" w:hAnsi="Calibri"/>
                <w:sz w:val="22"/>
              </w:rPr>
              <w:t>$1.934B</w:t>
            </w:r>
          </w:p>
        </w:tc>
        <w:tc>
          <w:tcPr>
            <w:tcW w:type="dxa" w:w="1234"/>
          </w:tcPr>
          <w:p>
            <w:r>
              <w:rPr>
                <w:rFonts w:ascii="Calibri" w:hAnsi="Calibri"/>
                <w:sz w:val="22"/>
              </w:rPr>
              <w:t>$1.495B</w:t>
            </w:r>
          </w:p>
        </w:tc>
        <w:tc>
          <w:tcPr>
            <w:tcW w:type="dxa" w:w="1234"/>
          </w:tcPr>
          <w:p>
            <w:r>
              <w:rPr>
                <w:rFonts w:ascii="Calibri" w:hAnsi="Calibri"/>
                <w:sz w:val="22"/>
              </w:rPr>
              <w:t>$2.212B</w:t>
            </w:r>
          </w:p>
        </w:tc>
        <w:tc>
          <w:tcPr>
            <w:tcW w:type="dxa" w:w="1234"/>
          </w:tcPr>
          <w:p>
            <w:r>
              <w:rPr>
                <w:rFonts w:ascii="Calibri" w:hAnsi="Calibri"/>
                <w:b/>
                <w:color w:val="30A46C"/>
                <w:sz w:val="22"/>
              </w:rPr>
              <w:t>+47.9%</w:t>
            </w:r>
          </w:p>
        </w:tc>
        <w:tc>
          <w:tcPr>
            <w:tcW w:type="dxa" w:w="1234"/>
          </w:tcPr>
          <w:p>
            <w:r>
              <w:rPr>
                <w:rFonts w:ascii="Calibri" w:hAnsi="Calibri"/>
                <w:sz w:val="22"/>
              </w:rPr>
              <w:t>$2.20B–$2.25B</w:t>
            </w:r>
          </w:p>
        </w:tc>
        <w:tc>
          <w:tcPr>
            <w:tcW w:type="dxa" w:w="1234"/>
          </w:tcPr>
          <w:p>
            <w:r>
              <w:rPr>
                <w:rFonts w:ascii="Calibri" w:hAnsi="Calibri"/>
                <w:sz w:val="22"/>
              </w:rPr>
              <w:t>At midpoint</w:t>
            </w:r>
          </w:p>
        </w:tc>
      </w:tr>
      <w:tr>
        <w:tc>
          <w:tcPr>
            <w:tcW w:type="dxa" w:w="1234"/>
          </w:tcPr>
          <w:p>
            <w:r>
              <w:rPr>
                <w:rFonts w:ascii="Calibri" w:hAnsi="Calibri"/>
                <w:sz w:val="22"/>
              </w:rPr>
              <w:t>Net Interest Margin (FTE)</w:t>
            </w:r>
          </w:p>
        </w:tc>
        <w:tc>
          <w:tcPr>
            <w:tcW w:type="dxa" w:w="1234"/>
          </w:tcPr>
          <w:p>
            <w:r>
              <w:rPr>
                <w:rFonts w:ascii="Calibri" w:hAnsi="Calibri"/>
                <w:sz w:val="22"/>
              </w:rPr>
              <w:t>3.30%</w:t>
            </w:r>
          </w:p>
        </w:tc>
        <w:tc>
          <w:tcPr>
            <w:tcW w:type="dxa" w:w="1234"/>
          </w:tcPr>
          <w:p>
            <w:r>
              <w:rPr>
                <w:rFonts w:ascii="Calibri" w:hAnsi="Calibri"/>
                <w:sz w:val="22"/>
              </w:rPr>
              <w:t>3.12%</w:t>
            </w:r>
          </w:p>
        </w:tc>
        <w:tc>
          <w:tcPr>
            <w:tcW w:type="dxa" w:w="1234"/>
          </w:tcPr>
          <w:p>
            <w:r>
              <w:rPr>
                <w:rFonts w:ascii="Calibri" w:hAnsi="Calibri"/>
                <w:sz w:val="22"/>
              </w:rPr>
              <w:t>3.36%</w:t>
            </w:r>
          </w:p>
        </w:tc>
        <w:tc>
          <w:tcPr>
            <w:tcW w:type="dxa" w:w="1234"/>
          </w:tcPr>
          <w:p>
            <w:r>
              <w:rPr>
                <w:rFonts w:ascii="Calibri" w:hAnsi="Calibri"/>
                <w:b/>
                <w:color w:val="30A46C"/>
                <w:sz w:val="22"/>
              </w:rPr>
              <w:t>+24 bps</w:t>
            </w:r>
          </w:p>
        </w:tc>
        <w:tc>
          <w:tcPr>
            <w:tcW w:type="dxa" w:w="1234"/>
          </w:tcPr>
          <w:p>
            <w:r>
              <w:rPr>
                <w:rFonts w:ascii="Calibri" w:hAnsi="Calibri"/>
                <w:sz w:val="22"/>
              </w:rPr>
              <w:t>+3–5 bps QoQ</w:t>
            </w:r>
          </w:p>
        </w:tc>
        <w:tc>
          <w:tcPr>
            <w:tcW w:type="dxa" w:w="1234"/>
          </w:tcPr>
          <w:p>
            <w:r>
              <w:rPr>
                <w:rFonts w:ascii="Calibri" w:hAnsi="Calibri"/>
                <w:sz w:val="22"/>
              </w:rPr>
              <w:t>In range</w:t>
            </w:r>
          </w:p>
        </w:tc>
      </w:tr>
      <w:tr>
        <w:tc>
          <w:tcPr>
            <w:tcW w:type="dxa" w:w="1234"/>
          </w:tcPr>
          <w:p>
            <w:r>
              <w:rPr>
                <w:rFonts w:ascii="Calibri" w:hAnsi="Calibri"/>
                <w:sz w:val="22"/>
              </w:rPr>
              <w:t>Operating EPS</w:t>
            </w:r>
          </w:p>
        </w:tc>
        <w:tc>
          <w:tcPr>
            <w:tcW w:type="dxa" w:w="1234"/>
          </w:tcPr>
          <w:p>
            <w:r>
              <w:rPr>
                <w:rFonts w:ascii="Calibri" w:hAnsi="Calibri"/>
                <w:sz w:val="22"/>
              </w:rPr>
              <w:t>$0.83</w:t>
            </w:r>
          </w:p>
        </w:tc>
        <w:tc>
          <w:tcPr>
            <w:tcW w:type="dxa" w:w="1234"/>
          </w:tcPr>
          <w:p>
            <w:r>
              <w:rPr>
                <w:rFonts w:ascii="Calibri" w:hAnsi="Calibri"/>
                <w:sz w:val="22"/>
              </w:rPr>
              <w:t>$0.90</w:t>
            </w:r>
          </w:p>
        </w:tc>
        <w:tc>
          <w:tcPr>
            <w:tcW w:type="dxa" w:w="1234"/>
          </w:tcPr>
          <w:p>
            <w:r>
              <w:rPr>
                <w:rFonts w:ascii="Calibri" w:hAnsi="Calibri"/>
                <w:sz w:val="22"/>
              </w:rPr>
              <w:t>$0.98</w:t>
            </w:r>
          </w:p>
        </w:tc>
        <w:tc>
          <w:tcPr>
            <w:tcW w:type="dxa" w:w="1234"/>
          </w:tcPr>
          <w:p>
            <w:r>
              <w:rPr>
                <w:rFonts w:ascii="Calibri" w:hAnsi="Calibri"/>
                <w:b/>
                <w:color w:val="30A46C"/>
                <w:sz w:val="22"/>
              </w:rPr>
              <w:t>+9.1%</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Operating Noninterest Income</w:t>
            </w:r>
          </w:p>
        </w:tc>
        <w:tc>
          <w:tcPr>
            <w:tcW w:type="dxa" w:w="1234"/>
          </w:tcPr>
          <w:p>
            <w:r>
              <w:rPr>
                <w:rFonts w:ascii="Calibri" w:hAnsi="Calibri"/>
                <w:sz w:val="22"/>
              </w:rPr>
              <w:t>$921M</w:t>
            </w:r>
          </w:p>
        </w:tc>
        <w:tc>
          <w:tcPr>
            <w:tcW w:type="dxa" w:w="1234"/>
          </w:tcPr>
          <w:p>
            <w:r>
              <w:rPr>
                <w:rFonts w:ascii="Calibri" w:hAnsi="Calibri"/>
                <w:sz w:val="22"/>
              </w:rPr>
              <w:t>$735M</w:t>
            </w:r>
          </w:p>
        </w:tc>
        <w:tc>
          <w:tcPr>
            <w:tcW w:type="dxa" w:w="1234"/>
          </w:tcPr>
          <w:p>
            <w:r>
              <w:rPr>
                <w:rFonts w:ascii="Calibri" w:hAnsi="Calibri"/>
                <w:sz w:val="22"/>
              </w:rPr>
              <w:t>$1,031M</w:t>
            </w:r>
          </w:p>
        </w:tc>
        <w:tc>
          <w:tcPr>
            <w:tcW w:type="dxa" w:w="1234"/>
          </w:tcPr>
          <w:p>
            <w:r>
              <w:rPr>
                <w:rFonts w:ascii="Calibri" w:hAnsi="Calibri"/>
                <w:b/>
                <w:color w:val="30A46C"/>
                <w:sz w:val="22"/>
              </w:rPr>
              <w:t>+40.3%</w:t>
            </w:r>
          </w:p>
        </w:tc>
        <w:tc>
          <w:tcPr>
            <w:tcW w:type="dxa" w:w="1234"/>
          </w:tcPr>
          <w:p>
            <w:r>
              <w:rPr>
                <w:rFonts w:ascii="Calibri" w:hAnsi="Calibri"/>
                <w:sz w:val="22"/>
              </w:rPr>
              <w:t>$1.00B–$1.06B</w:t>
            </w:r>
          </w:p>
        </w:tc>
        <w:tc>
          <w:tcPr>
            <w:tcW w:type="dxa" w:w="1234"/>
          </w:tcPr>
          <w:p>
            <w:r>
              <w:rPr>
                <w:rFonts w:ascii="Calibri" w:hAnsi="Calibri"/>
                <w:sz w:val="22"/>
              </w:rPr>
              <w:t>At midpoint</w:t>
            </w:r>
          </w:p>
        </w:tc>
      </w:tr>
      <w:tr>
        <w:tc>
          <w:tcPr>
            <w:tcW w:type="dxa" w:w="1234"/>
          </w:tcPr>
          <w:p>
            <w:r>
              <w:rPr>
                <w:rFonts w:ascii="Calibri" w:hAnsi="Calibri"/>
                <w:sz w:val="22"/>
              </w:rPr>
              <w:t>Operating Noninterest Expense</w:t>
            </w:r>
          </w:p>
        </w:tc>
        <w:tc>
          <w:tcPr>
            <w:tcW w:type="dxa" w:w="1234"/>
          </w:tcPr>
          <w:p>
            <w:r>
              <w:rPr>
                <w:rFonts w:ascii="Calibri" w:hAnsi="Calibri"/>
                <w:sz w:val="22"/>
              </w:rPr>
              <w:t>$1,769M</w:t>
            </w:r>
          </w:p>
        </w:tc>
        <w:tc>
          <w:tcPr>
            <w:tcW w:type="dxa" w:w="1234"/>
          </w:tcPr>
          <w:p>
            <w:r>
              <w:rPr>
                <w:rFonts w:ascii="Calibri" w:hAnsi="Calibri"/>
                <w:sz w:val="22"/>
              </w:rPr>
              <w:t>$1,233M</w:t>
            </w:r>
          </w:p>
        </w:tc>
        <w:tc>
          <w:tcPr>
            <w:tcW w:type="dxa" w:w="1234"/>
          </w:tcPr>
          <w:p>
            <w:r>
              <w:rPr>
                <w:rFonts w:ascii="Calibri" w:hAnsi="Calibri"/>
                <w:sz w:val="22"/>
              </w:rPr>
              <w:t>$1,874M</w:t>
            </w:r>
          </w:p>
        </w:tc>
        <w:tc>
          <w:tcPr>
            <w:tcW w:type="dxa" w:w="1234"/>
          </w:tcPr>
          <w:p>
            <w:r>
              <w:rPr>
                <w:rFonts w:ascii="Calibri" w:hAnsi="Calibri"/>
                <w:sz w:val="22"/>
              </w:rPr>
              <w:t>+52.0%</w:t>
            </w:r>
          </w:p>
        </w:tc>
        <w:tc>
          <w:tcPr>
            <w:tcW w:type="dxa" w:w="1234"/>
          </w:tcPr>
          <w:p>
            <w:r>
              <w:rPr>
                <w:rFonts w:ascii="Calibri" w:hAnsi="Calibri"/>
                <w:sz w:val="22"/>
              </w:rPr>
              <w:t>$1.87B–$1.89B</w:t>
            </w:r>
          </w:p>
        </w:tc>
        <w:tc>
          <w:tcPr>
            <w:tcW w:type="dxa" w:w="1234"/>
          </w:tcPr>
          <w:p>
            <w:r>
              <w:rPr>
                <w:rFonts w:ascii="Calibri" w:hAnsi="Calibri"/>
                <w:sz w:val="22"/>
              </w:rPr>
              <w:t>At midpoint</w:t>
            </w:r>
          </w:p>
        </w:tc>
      </w:tr>
      <w:tr>
        <w:tc>
          <w:tcPr>
            <w:tcW w:type="dxa" w:w="1234"/>
          </w:tcPr>
          <w:p>
            <w:r>
              <w:rPr>
                <w:rFonts w:ascii="Calibri" w:hAnsi="Calibri"/>
                <w:sz w:val="22"/>
              </w:rPr>
              <w:t>Net Charge-Off Ratio</w:t>
            </w:r>
          </w:p>
        </w:tc>
        <w:tc>
          <w:tcPr>
            <w:tcW w:type="dxa" w:w="1234"/>
          </w:tcPr>
          <w:p>
            <w:r>
              <w:rPr>
                <w:rFonts w:ascii="Calibri" w:hAnsi="Calibri"/>
                <w:sz w:val="22"/>
              </w:rPr>
              <w:t>0.37%</w:t>
            </w:r>
          </w:p>
        </w:tc>
        <w:tc>
          <w:tcPr>
            <w:tcW w:type="dxa" w:w="1234"/>
          </w:tcPr>
          <w:p>
            <w:r>
              <w:rPr>
                <w:rFonts w:ascii="Calibri" w:hAnsi="Calibri"/>
                <w:sz w:val="22"/>
              </w:rPr>
              <w:t>0.45%</w:t>
            </w:r>
          </w:p>
        </w:tc>
        <w:tc>
          <w:tcPr>
            <w:tcW w:type="dxa" w:w="1234"/>
          </w:tcPr>
          <w:p>
            <w:r>
              <w:rPr>
                <w:rFonts w:ascii="Calibri" w:hAnsi="Calibri"/>
                <w:sz w:val="22"/>
              </w:rPr>
              <w:t>0.32%</w:t>
            </w:r>
          </w:p>
        </w:tc>
        <w:tc>
          <w:tcPr>
            <w:tcW w:type="dxa" w:w="1234"/>
          </w:tcPr>
          <w:p>
            <w:r>
              <w:rPr>
                <w:rFonts w:ascii="Calibri" w:hAnsi="Calibri"/>
                <w:b/>
                <w:color w:val="30A46C"/>
                <w:sz w:val="22"/>
              </w:rPr>
              <w:t>-13 bps</w:t>
            </w:r>
          </w:p>
        </w:tc>
        <w:tc>
          <w:tcPr>
            <w:tcW w:type="dxa" w:w="1234"/>
          </w:tcPr>
          <w:p>
            <w:r>
              <w:rPr>
                <w:rFonts w:ascii="Calibri" w:hAnsi="Calibri"/>
                <w:sz w:val="22"/>
              </w:rPr>
              <w:t>30–35 bps</w:t>
            </w:r>
          </w:p>
        </w:tc>
        <w:tc>
          <w:tcPr>
            <w:tcW w:type="dxa" w:w="1234"/>
          </w:tcPr>
          <w:p>
            <w:r>
              <w:rPr>
                <w:rFonts w:ascii="Calibri" w:hAnsi="Calibri"/>
                <w:sz w:val="22"/>
              </w:rPr>
              <w:t>Below midpoint</w:t>
            </w:r>
          </w:p>
        </w:tc>
      </w:tr>
      <w:tr>
        <w:tc>
          <w:tcPr>
            <w:tcW w:type="dxa" w:w="1234"/>
          </w:tcPr>
          <w:p>
            <w:r>
              <w:rPr>
                <w:rFonts w:ascii="Calibri" w:hAnsi="Calibri"/>
                <w:sz w:val="22"/>
              </w:rPr>
              <w:t>Operating Efficiency Ratio</w:t>
            </w:r>
          </w:p>
        </w:tc>
        <w:tc>
          <w:tcPr>
            <w:tcW w:type="dxa" w:w="1234"/>
          </w:tcPr>
          <w:p>
            <w:r>
              <w:rPr>
                <w:rFonts w:ascii="Calibri" w:hAnsi="Calibri"/>
                <w:sz w:val="22"/>
              </w:rPr>
              <w:t>61.9%</w:t>
            </w:r>
          </w:p>
        </w:tc>
        <w:tc>
          <w:tcPr>
            <w:tcW w:type="dxa" w:w="1234"/>
          </w:tcPr>
          <w:p>
            <w:r>
              <w:rPr>
                <w:rFonts w:ascii="Calibri" w:hAnsi="Calibri"/>
                <w:sz w:val="22"/>
              </w:rPr>
              <w:t>55.2%</w:t>
            </w:r>
          </w:p>
        </w:tc>
        <w:tc>
          <w:tcPr>
            <w:tcW w:type="dxa" w:w="1234"/>
          </w:tcPr>
          <w:p>
            <w:r>
              <w:rPr>
                <w:rFonts w:ascii="Calibri" w:hAnsi="Calibri"/>
                <w:sz w:val="22"/>
              </w:rPr>
              <w:t>57.7%</w:t>
            </w:r>
          </w:p>
        </w:tc>
        <w:tc>
          <w:tcPr>
            <w:tcW w:type="dxa" w:w="1234"/>
          </w:tcPr>
          <w:p>
            <w:r>
              <w:rPr>
                <w:rFonts w:ascii="Calibri" w:hAnsi="Calibri"/>
                <w:sz w:val="22"/>
              </w:rPr>
              <w:t>+250 bps</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ROTCE</w:t>
            </w:r>
          </w:p>
        </w:tc>
        <w:tc>
          <w:tcPr>
            <w:tcW w:type="dxa" w:w="1234"/>
          </w:tcPr>
          <w:p>
            <w:r>
              <w:rPr>
                <w:rFonts w:ascii="Calibri" w:hAnsi="Calibri"/>
                <w:sz w:val="22"/>
              </w:rPr>
              <w:t>2.9% (GAAP)*</w:t>
            </w:r>
          </w:p>
        </w:tc>
        <w:tc>
          <w:tcPr>
            <w:tcW w:type="dxa" w:w="1234"/>
          </w:tcPr>
          <w:p>
            <w:r>
              <w:rPr>
                <w:rFonts w:ascii="Calibri" w:hAnsi="Calibri"/>
                <w:sz w:val="22"/>
              </w:rPr>
              <w:t>17.3%</w:t>
            </w:r>
          </w:p>
        </w:tc>
        <w:tc>
          <w:tcPr>
            <w:tcW w:type="dxa" w:w="1234"/>
          </w:tcPr>
          <w:p>
            <w:r>
              <w:rPr>
                <w:rFonts w:ascii="Calibri" w:hAnsi="Calibri"/>
                <w:sz w:val="22"/>
              </w:rPr>
              <w:t>14.8%</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 Q1 2026 ROTCE was depressed by merger-related charges (day-one ACL build on Comerica acquisition); adjusted ROTCE was significantly higher. All consensus data sourced from Visible Alpha.</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Net Interest Income (NII)</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$1,387M</w:t>
            </w:r>
          </w:p>
        </w:tc>
        <w:tc>
          <w:tcPr>
            <w:tcW w:type="dxa" w:w="1728"/>
          </w:tcPr>
          <w:p>
            <w:r>
              <w:rPr>
                <w:rFonts w:ascii="Calibri" w:hAnsi="Calibri"/>
                <w:sz w:val="22"/>
              </w:rPr>
              <w:t>$1,391M</w:t>
            </w:r>
          </w:p>
        </w:tc>
        <w:tc>
          <w:tcPr>
            <w:tcW w:type="dxa" w:w="1728"/>
          </w:tcPr>
          <w:p>
            <w:r>
              <w:rPr>
                <w:rFonts w:ascii="Calibri" w:hAnsi="Calibri"/>
                <w:sz w:val="22"/>
              </w:rPr>
              <w:t>-0.3%</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$1,421M</w:t>
            </w:r>
          </w:p>
        </w:tc>
        <w:tc>
          <w:tcPr>
            <w:tcW w:type="dxa" w:w="1728"/>
          </w:tcPr>
          <w:p>
            <w:r>
              <w:rPr>
                <w:rFonts w:ascii="Calibri" w:hAnsi="Calibri"/>
                <w:sz w:val="22"/>
              </w:rPr>
              <w:t>$1,417M</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$1,437M</w:t>
            </w:r>
          </w:p>
        </w:tc>
        <w:tc>
          <w:tcPr>
            <w:tcW w:type="dxa" w:w="1728"/>
          </w:tcPr>
          <w:p>
            <w:r>
              <w:rPr>
                <w:rFonts w:ascii="Calibri" w:hAnsi="Calibri"/>
                <w:sz w:val="22"/>
              </w:rPr>
              <w:t>$1,436M</w:t>
            </w:r>
          </w:p>
        </w:tc>
        <w:tc>
          <w:tcPr>
            <w:tcW w:type="dxa" w:w="1728"/>
          </w:tcPr>
          <w:p>
            <w:r>
              <w:rPr>
                <w:rFonts w:ascii="Calibri" w:hAnsi="Calibri"/>
                <w:sz w:val="22"/>
              </w:rPr>
              <w:t>+0.1%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$1,437M</w:t>
            </w:r>
          </w:p>
        </w:tc>
        <w:tc>
          <w:tcPr>
            <w:tcW w:type="dxa" w:w="1728"/>
          </w:tcPr>
          <w:p>
            <w:r>
              <w:rPr>
                <w:rFonts w:ascii="Calibri" w:hAnsi="Calibri"/>
                <w:sz w:val="22"/>
              </w:rPr>
              <w:t>$1,435M</w:t>
            </w:r>
          </w:p>
        </w:tc>
        <w:tc>
          <w:tcPr>
            <w:tcW w:type="dxa" w:w="1728"/>
          </w:tcPr>
          <w:p>
            <w:r>
              <w:rPr>
                <w:rFonts w:ascii="Calibri" w:hAnsi="Calibri"/>
                <w:sz w:val="22"/>
              </w:rPr>
              <w:t>+0.1%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$1,495M</w:t>
            </w:r>
          </w:p>
        </w:tc>
        <w:tc>
          <w:tcPr>
            <w:tcW w:type="dxa" w:w="1728"/>
          </w:tcPr>
          <w:p>
            <w:r>
              <w:rPr>
                <w:rFonts w:ascii="Calibri" w:hAnsi="Calibri"/>
                <w:sz w:val="22"/>
              </w:rPr>
              <w:t>$1,478M</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$1,520M</w:t>
            </w:r>
          </w:p>
        </w:tc>
        <w:tc>
          <w:tcPr>
            <w:tcW w:type="dxa" w:w="1728"/>
          </w:tcPr>
          <w:p>
            <w:r>
              <w:rPr>
                <w:rFonts w:ascii="Calibri" w:hAnsi="Calibri"/>
                <w:sz w:val="22"/>
              </w:rPr>
              <w:t>$1,515M</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$1,529M</w:t>
            </w:r>
          </w:p>
        </w:tc>
        <w:tc>
          <w:tcPr>
            <w:tcW w:type="dxa" w:w="1728"/>
          </w:tcPr>
          <w:p>
            <w:r>
              <w:rPr>
                <w:rFonts w:ascii="Calibri" w:hAnsi="Calibri"/>
                <w:sz w:val="22"/>
              </w:rPr>
              <w:t>$1,533M</w:t>
            </w:r>
          </w:p>
        </w:tc>
        <w:tc>
          <w:tcPr>
            <w:tcW w:type="dxa" w:w="1728"/>
          </w:tcPr>
          <w:p>
            <w:r>
              <w:rPr>
                <w:rFonts w:ascii="Calibri" w:hAnsi="Calibri"/>
                <w:sz w:val="22"/>
              </w:rPr>
              <w:t>-0.3%</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$1,934M</w:t>
            </w:r>
          </w:p>
        </w:tc>
        <w:tc>
          <w:tcPr>
            <w:tcW w:type="dxa" w:w="1728"/>
          </w:tcPr>
          <w:p>
            <w:r>
              <w:rPr>
                <w:rFonts w:ascii="Calibri" w:hAnsi="Calibri"/>
                <w:sz w:val="22"/>
              </w:rPr>
              <w:t>$1,925M</w:t>
            </w:r>
          </w:p>
        </w:tc>
        <w:tc>
          <w:tcPr>
            <w:tcW w:type="dxa" w:w="1728"/>
          </w:tcPr>
          <w:p>
            <w:r>
              <w:rPr>
                <w:rFonts w:ascii="Calibri" w:hAnsi="Calibri"/>
                <w:sz w:val="22"/>
              </w:rPr>
              <w:t>+0.5%</w:t>
            </w:r>
          </w:p>
        </w:tc>
        <w:tc>
          <w:tcPr>
            <w:tcW w:type="dxa" w:w="1728"/>
          </w:tcPr>
          <w:p>
            <w:r>
              <w:rPr>
                <w:rFonts w:ascii="Calibri" w:hAnsi="Calibri"/>
                <w:b/>
                <w:color w:val="30A46C"/>
                <w:sz w:val="22"/>
              </w:rPr>
              <w:t>Beat</w:t>
            </w:r>
          </w:p>
        </w:tc>
      </w:tr>
    </w:tbl>
    <w:p>
      <w:pPr>
        <w:pStyle w:val="Heading4"/>
      </w:pPr>
      <w:r>
        <w:rPr>
          <w:rFonts w:ascii="Calibri" w:hAnsi="Calibri"/>
          <w:b/>
          <w:color w:val="3B4259"/>
          <w:sz w:val="22"/>
        </w:rPr>
        <w:t>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$0.87</w:t>
            </w:r>
          </w:p>
        </w:tc>
        <w:tc>
          <w:tcPr>
            <w:tcW w:type="dxa" w:w="1728"/>
          </w:tcPr>
          <w:p>
            <w:r>
              <w:rPr>
                <w:rFonts w:ascii="Calibri" w:hAnsi="Calibri"/>
                <w:sz w:val="22"/>
              </w:rPr>
              <w:t>$0.85</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$0.85</w:t>
            </w:r>
          </w:p>
        </w:tc>
        <w:tc>
          <w:tcPr>
            <w:tcW w:type="dxa" w:w="1728"/>
          </w:tcPr>
          <w:p>
            <w:r>
              <w:rPr>
                <w:rFonts w:ascii="Calibri" w:hAnsi="Calibri"/>
                <w:sz w:val="22"/>
              </w:rPr>
              <w:t>$0.83</w:t>
            </w:r>
          </w:p>
        </w:tc>
        <w:tc>
          <w:tcPr>
            <w:tcW w:type="dxa" w:w="1728"/>
          </w:tcPr>
          <w:p>
            <w:r>
              <w:rPr>
                <w:rFonts w:ascii="Calibri" w:hAnsi="Calibri"/>
                <w:sz w:val="22"/>
              </w:rPr>
              <w:t>+2.4%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$0.90</w:t>
            </w:r>
          </w:p>
        </w:tc>
        <w:tc>
          <w:tcPr>
            <w:tcW w:type="dxa" w:w="1728"/>
          </w:tcPr>
          <w:p>
            <w:r>
              <w:rPr>
                <w:rFonts w:ascii="Calibri" w:hAnsi="Calibri"/>
                <w:sz w:val="22"/>
              </w:rPr>
              <w:t>$0.88</w:t>
            </w:r>
          </w:p>
        </w:tc>
        <w:tc>
          <w:tcPr>
            <w:tcW w:type="dxa" w:w="1728"/>
          </w:tcPr>
          <w:p>
            <w:r>
              <w:rPr>
                <w:rFonts w:ascii="Calibri" w:hAnsi="Calibri"/>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$0.73</w:t>
            </w:r>
          </w:p>
        </w:tc>
        <w:tc>
          <w:tcPr>
            <w:tcW w:type="dxa" w:w="1728"/>
          </w:tcPr>
          <w:p>
            <w:r>
              <w:rPr>
                <w:rFonts w:ascii="Calibri" w:hAnsi="Calibri"/>
                <w:sz w:val="22"/>
              </w:rPr>
              <w:t>$0.70</w:t>
            </w:r>
          </w:p>
        </w:tc>
        <w:tc>
          <w:tcPr>
            <w:tcW w:type="dxa" w:w="1728"/>
          </w:tcPr>
          <w:p>
            <w:r>
              <w:rPr>
                <w:rFonts w:ascii="Calibri" w:hAnsi="Calibri"/>
                <w:sz w:val="22"/>
              </w:rPr>
              <w:t>+4.8%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$0.90</w:t>
            </w:r>
          </w:p>
        </w:tc>
        <w:tc>
          <w:tcPr>
            <w:tcW w:type="dxa" w:w="1728"/>
          </w:tcPr>
          <w:p>
            <w:r>
              <w:rPr>
                <w:rFonts w:ascii="Calibri" w:hAnsi="Calibri"/>
                <w:sz w:val="22"/>
              </w:rPr>
              <w:t>$0.87</w:t>
            </w:r>
          </w:p>
        </w:tc>
        <w:tc>
          <w:tcPr>
            <w:tcW w:type="dxa" w:w="1728"/>
          </w:tcPr>
          <w:p>
            <w:r>
              <w:rPr>
                <w:rFonts w:ascii="Calibri" w:hAnsi="Calibri"/>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$0.93</w:t>
            </w:r>
          </w:p>
        </w:tc>
        <w:tc>
          <w:tcPr>
            <w:tcW w:type="dxa" w:w="1728"/>
          </w:tcPr>
          <w:p>
            <w:r>
              <w:rPr>
                <w:rFonts w:ascii="Calibri" w:hAnsi="Calibri"/>
                <w:sz w:val="22"/>
              </w:rPr>
              <w:t>$0.88</w:t>
            </w:r>
          </w:p>
        </w:tc>
        <w:tc>
          <w:tcPr>
            <w:tcW w:type="dxa" w:w="1728"/>
          </w:tcPr>
          <w:p>
            <w:r>
              <w:rPr>
                <w:rFonts w:ascii="Calibri" w:hAnsi="Calibri"/>
                <w:sz w:val="22"/>
              </w:rPr>
              <w:t>+6.3%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$1.08</w:t>
            </w:r>
          </w:p>
        </w:tc>
        <w:tc>
          <w:tcPr>
            <w:tcW w:type="dxa" w:w="1728"/>
          </w:tcPr>
          <w:p>
            <w:r>
              <w:rPr>
                <w:rFonts w:ascii="Calibri" w:hAnsi="Calibri"/>
                <w:sz w:val="22"/>
              </w:rPr>
              <w:t>$1.01</w:t>
            </w:r>
          </w:p>
        </w:tc>
        <w:tc>
          <w:tcPr>
            <w:tcW w:type="dxa" w:w="1728"/>
          </w:tcPr>
          <w:p>
            <w:r>
              <w:rPr>
                <w:rFonts w:ascii="Calibri" w:hAnsi="Calibri"/>
                <w:sz w:val="22"/>
              </w:rPr>
              <w:t>+6.5%</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$0.83</w:t>
            </w:r>
          </w:p>
        </w:tc>
        <w:tc>
          <w:tcPr>
            <w:tcW w:type="dxa" w:w="1728"/>
          </w:tcPr>
          <w:p>
            <w:r>
              <w:rPr>
                <w:rFonts w:ascii="Calibri" w:hAnsi="Calibri"/>
                <w:sz w:val="22"/>
              </w:rPr>
              <w:t>$0.77</w:t>
            </w:r>
          </w:p>
        </w:tc>
        <w:tc>
          <w:tcPr>
            <w:tcW w:type="dxa" w:w="1728"/>
          </w:tcPr>
          <w:p>
            <w:r>
              <w:rPr>
                <w:rFonts w:ascii="Calibri" w:hAnsi="Calibri"/>
                <w:sz w:val="22"/>
              </w:rPr>
              <w:t>+7.1%</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FITB has beaten Operating EPS consensus in all 8 of the last 8 quarters, with the beat magnitude expanding meaningfully post-Comerica close. NII has beaten in 6 of the last 8 quarters, with the two misses being very small (-0.3%). The consistent beat pattern suggests management guides conservatively. All data sourced from Visible Alpha.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No formal guidance revisions since Q1 earnings, but management’s mid-quarter commentary at the Morgan Stanley Financials Conference (May 20) was incrementally positive — </w:t>
      </w:r>
      <w:r>
        <w:rPr>
          <w:rFonts w:ascii="Calibri" w:hAnsi="Calibri"/>
          <w:b/>
          <w:color w:val="525866"/>
          <w:sz w:val="22"/>
        </w:rPr>
        <w:t>Q2 tracking ahead on expenses and credit, and the Southwest deposit campaign is dramatically exceeding initial targets.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17)</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NII</w:t>
            </w:r>
          </w:p>
        </w:tc>
        <w:tc>
          <w:tcPr>
            <w:tcW w:type="dxa" w:w="1728"/>
          </w:tcPr>
          <w:p>
            <w:r>
              <w:rPr>
                <w:rFonts w:ascii="Calibri" w:hAnsi="Calibri"/>
                <w:sz w:val="22"/>
              </w:rPr>
              <w:t>$2.20B–$2.25B</w:t>
            </w:r>
          </w:p>
        </w:tc>
        <w:tc>
          <w:tcPr>
            <w:tcW w:type="dxa" w:w="1728"/>
          </w:tcPr>
          <w:p>
            <w:r>
              <w:rPr>
                <w:rFonts w:ascii="Calibri" w:hAnsi="Calibri"/>
                <w:sz w:val="22"/>
              </w:rPr>
              <w:t>—</w:t>
            </w:r>
          </w:p>
        </w:tc>
        <w:tc>
          <w:tcPr>
            <w:tcW w:type="dxa" w:w="1728"/>
          </w:tcPr>
          <w:p>
            <w:r>
              <w:rPr>
                <w:rFonts w:ascii="Calibri" w:hAnsi="Calibri"/>
                <w:sz w:val="22"/>
              </w:rPr>
              <w:t>$2.212B</w:t>
            </w:r>
          </w:p>
        </w:tc>
        <w:tc>
          <w:tcPr>
            <w:tcW w:type="dxa" w:w="1728"/>
          </w:tcPr>
          <w:p>
            <w:r>
              <w:rPr>
                <w:rFonts w:ascii="Calibri" w:hAnsi="Calibri"/>
                <w:sz w:val="22"/>
              </w:rPr>
              <w:t>No change; management noted Q2 tracking slightly better than original guidance</w:t>
            </w:r>
          </w:p>
        </w:tc>
      </w:tr>
      <w:tr>
        <w:tc>
          <w:tcPr>
            <w:tcW w:type="dxa" w:w="1728"/>
          </w:tcPr>
          <w:p>
            <w:r>
              <w:rPr>
                <w:rFonts w:ascii="Calibri" w:hAnsi="Calibri"/>
                <w:sz w:val="22"/>
              </w:rPr>
              <w:t>Q2 NIM</w:t>
            </w:r>
          </w:p>
        </w:tc>
        <w:tc>
          <w:tcPr>
            <w:tcW w:type="dxa" w:w="1728"/>
          </w:tcPr>
          <w:p>
            <w:r>
              <w:rPr>
                <w:rFonts w:ascii="Calibri" w:hAnsi="Calibri"/>
                <w:sz w:val="22"/>
              </w:rPr>
              <w:t>+3–5 bps QoQ from 3.30%</w:t>
            </w:r>
          </w:p>
        </w:tc>
        <w:tc>
          <w:tcPr>
            <w:tcW w:type="dxa" w:w="1728"/>
          </w:tcPr>
          <w:p>
            <w:r>
              <w:rPr>
                <w:rFonts w:ascii="Calibri" w:hAnsi="Calibri"/>
                <w:sz w:val="22"/>
              </w:rPr>
              <w:t>—</w:t>
            </w:r>
          </w:p>
        </w:tc>
        <w:tc>
          <w:tcPr>
            <w:tcW w:type="dxa" w:w="1728"/>
          </w:tcPr>
          <w:p>
            <w:r>
              <w:rPr>
                <w:rFonts w:ascii="Calibri" w:hAnsi="Calibri"/>
                <w:sz w:val="22"/>
              </w:rPr>
              <w:t>3.36%</w:t>
            </w:r>
          </w:p>
        </w:tc>
        <w:tc>
          <w:tcPr>
            <w:tcW w:type="dxa" w:w="1728"/>
          </w:tcPr>
          <w:p>
            <w:r>
              <w:rPr>
                <w:rFonts w:ascii="Calibri" w:hAnsi="Calibri"/>
                <w:sz w:val="22"/>
              </w:rPr>
              <w:t>No change; full quarter impact of securities repositioning and purchase accounting accretion expected to add a few bps</w:t>
            </w:r>
          </w:p>
        </w:tc>
      </w:tr>
      <w:tr>
        <w:tc>
          <w:tcPr>
            <w:tcW w:type="dxa" w:w="1728"/>
          </w:tcPr>
          <w:p>
            <w:r>
              <w:rPr>
                <w:rFonts w:ascii="Calibri" w:hAnsi="Calibri"/>
                <w:sz w:val="22"/>
              </w:rPr>
              <w:t>Q2 Noninterest Income</w:t>
            </w:r>
          </w:p>
        </w:tc>
        <w:tc>
          <w:tcPr>
            <w:tcW w:type="dxa" w:w="1728"/>
          </w:tcPr>
          <w:p>
            <w:r>
              <w:rPr>
                <w:rFonts w:ascii="Calibri" w:hAnsi="Calibri"/>
                <w:sz w:val="22"/>
              </w:rPr>
              <w:t>$1.00B–$1.06B</w:t>
            </w:r>
          </w:p>
        </w:tc>
        <w:tc>
          <w:tcPr>
            <w:tcW w:type="dxa" w:w="1728"/>
          </w:tcPr>
          <w:p>
            <w:r>
              <w:rPr>
                <w:rFonts w:ascii="Calibri" w:hAnsi="Calibri"/>
                <w:sz w:val="22"/>
              </w:rPr>
              <w:t>—</w:t>
            </w:r>
          </w:p>
        </w:tc>
        <w:tc>
          <w:tcPr>
            <w:tcW w:type="dxa" w:w="1728"/>
          </w:tcPr>
          <w:p>
            <w:r>
              <w:rPr>
                <w:rFonts w:ascii="Calibri" w:hAnsi="Calibri"/>
                <w:sz w:val="22"/>
              </w:rPr>
              <w:t>$1.031B</w:t>
            </w:r>
          </w:p>
        </w:tc>
        <w:tc>
          <w:tcPr>
            <w:tcW w:type="dxa" w:w="1728"/>
          </w:tcPr>
          <w:p>
            <w:r>
              <w:rPr>
                <w:rFonts w:ascii="Calibri" w:hAnsi="Calibri"/>
                <w:sz w:val="22"/>
              </w:rPr>
              <w:t>No change</w:t>
            </w:r>
          </w:p>
        </w:tc>
      </w:tr>
      <w:tr>
        <w:tc>
          <w:tcPr>
            <w:tcW w:type="dxa" w:w="1728"/>
          </w:tcPr>
          <w:p>
            <w:r>
              <w:rPr>
                <w:rFonts w:ascii="Calibri" w:hAnsi="Calibri"/>
                <w:sz w:val="22"/>
              </w:rPr>
              <w:t>Q2 Noninterest Expense</w:t>
            </w:r>
          </w:p>
        </w:tc>
        <w:tc>
          <w:tcPr>
            <w:tcW w:type="dxa" w:w="1728"/>
          </w:tcPr>
          <w:p>
            <w:r>
              <w:rPr>
                <w:rFonts w:ascii="Calibri" w:hAnsi="Calibri"/>
                <w:sz w:val="22"/>
              </w:rPr>
              <w:t>$1.87B–$1.89B</w:t>
            </w:r>
          </w:p>
        </w:tc>
        <w:tc>
          <w:tcPr>
            <w:tcW w:type="dxa" w:w="1728"/>
          </w:tcPr>
          <w:p>
            <w:r>
              <w:rPr>
                <w:rFonts w:ascii="Calibri" w:hAnsi="Calibri"/>
                <w:sz w:val="22"/>
              </w:rPr>
              <w:t>—</w:t>
            </w:r>
          </w:p>
        </w:tc>
        <w:tc>
          <w:tcPr>
            <w:tcW w:type="dxa" w:w="1728"/>
          </w:tcPr>
          <w:p>
            <w:r>
              <w:rPr>
                <w:rFonts w:ascii="Calibri" w:hAnsi="Calibri"/>
                <w:sz w:val="22"/>
              </w:rPr>
              <w:t>$1.874B</w:t>
            </w:r>
          </w:p>
        </w:tc>
        <w:tc>
          <w:tcPr>
            <w:tcW w:type="dxa" w:w="1728"/>
          </w:tcPr>
          <w:p>
            <w:r>
              <w:rPr>
                <w:rFonts w:ascii="Calibri" w:hAnsi="Calibri"/>
                <w:sz w:val="22"/>
              </w:rPr>
              <w:t>Management noted expenses at low end of range</w:t>
            </w:r>
          </w:p>
        </w:tc>
      </w:tr>
      <w:tr>
        <w:tc>
          <w:tcPr>
            <w:tcW w:type="dxa" w:w="1728"/>
          </w:tcPr>
          <w:p>
            <w:r>
              <w:rPr>
                <w:rFonts w:ascii="Calibri" w:hAnsi="Calibri"/>
                <w:sz w:val="22"/>
              </w:rPr>
              <w:t>Q2 Net Charge-Offs</w:t>
            </w:r>
          </w:p>
        </w:tc>
        <w:tc>
          <w:tcPr>
            <w:tcW w:type="dxa" w:w="1728"/>
          </w:tcPr>
          <w:p>
            <w:r>
              <w:rPr>
                <w:rFonts w:ascii="Calibri" w:hAnsi="Calibri"/>
                <w:sz w:val="22"/>
              </w:rPr>
              <w:t>30–35 bps</w:t>
            </w:r>
          </w:p>
        </w:tc>
        <w:tc>
          <w:tcPr>
            <w:tcW w:type="dxa" w:w="1728"/>
          </w:tcPr>
          <w:p>
            <w:r>
              <w:rPr>
                <w:rFonts w:ascii="Calibri" w:hAnsi="Calibri"/>
                <w:sz w:val="22"/>
              </w:rPr>
              <w:t>—</w:t>
            </w:r>
          </w:p>
        </w:tc>
        <w:tc>
          <w:tcPr>
            <w:tcW w:type="dxa" w:w="1728"/>
          </w:tcPr>
          <w:p>
            <w:r>
              <w:rPr>
                <w:rFonts w:ascii="Calibri" w:hAnsi="Calibri"/>
                <w:sz w:val="22"/>
              </w:rPr>
              <w:t>32 bps</w:t>
            </w:r>
          </w:p>
        </w:tc>
        <w:tc>
          <w:tcPr>
            <w:tcW w:type="dxa" w:w="1728"/>
          </w:tcPr>
          <w:p>
            <w:r>
              <w:rPr>
                <w:rFonts w:ascii="Calibri" w:hAnsi="Calibri"/>
                <w:sz w:val="22"/>
              </w:rPr>
              <w:t>Management noted charge-offs leaning toward low end of range</w:t>
            </w:r>
          </w:p>
        </w:tc>
      </w:tr>
      <w:tr>
        <w:tc>
          <w:tcPr>
            <w:tcW w:type="dxa" w:w="1728"/>
          </w:tcPr>
          <w:p>
            <w:r>
              <w:rPr>
                <w:rFonts w:ascii="Calibri" w:hAnsi="Calibri"/>
                <w:sz w:val="22"/>
              </w:rPr>
              <w:t>FY2026 NII</w:t>
            </w:r>
          </w:p>
        </w:tc>
        <w:tc>
          <w:tcPr>
            <w:tcW w:type="dxa" w:w="1728"/>
          </w:tcPr>
          <w:p>
            <w:r>
              <w:rPr>
                <w:rFonts w:ascii="Calibri" w:hAnsi="Calibri"/>
                <w:sz w:val="22"/>
              </w:rPr>
              <w:t>$8.70B–$8.80B</w:t>
            </w:r>
          </w:p>
        </w:tc>
        <w:tc>
          <w:tcPr>
            <w:tcW w:type="dxa" w:w="1728"/>
          </w:tcPr>
          <w:p>
            <w:r>
              <w:rPr>
                <w:rFonts w:ascii="Calibri" w:hAnsi="Calibri"/>
                <w:sz w:val="22"/>
              </w:rPr>
              <w:t>—</w:t>
            </w:r>
          </w:p>
        </w:tc>
        <w:tc>
          <w:tcPr>
            <w:tcW w:type="dxa" w:w="1728"/>
          </w:tcPr>
          <w:p>
            <w:r>
              <w:rPr>
                <w:rFonts w:ascii="Calibri" w:hAnsi="Calibri"/>
                <w:sz w:val="22"/>
              </w:rPr>
              <w:t>$8.743B</w:t>
            </w:r>
          </w:p>
        </w:tc>
        <w:tc>
          <w:tcPr>
            <w:tcW w:type="dxa" w:w="1728"/>
          </w:tcPr>
          <w:p>
            <w:r>
              <w:rPr>
                <w:rFonts w:ascii="Calibri" w:hAnsi="Calibri"/>
                <w:sz w:val="22"/>
              </w:rPr>
              <w:t>No change; assumes no rate cuts or hikes in 2026</w:t>
            </w:r>
          </w:p>
        </w:tc>
      </w:tr>
      <w:tr>
        <w:tc>
          <w:tcPr>
            <w:tcW w:type="dxa" w:w="1728"/>
          </w:tcPr>
          <w:p>
            <w:r>
              <w:rPr>
                <w:rFonts w:ascii="Calibri" w:hAnsi="Calibri"/>
                <w:sz w:val="22"/>
              </w:rPr>
              <w:t>FY2026 Noninterest Income</w:t>
            </w:r>
          </w:p>
        </w:tc>
        <w:tc>
          <w:tcPr>
            <w:tcW w:type="dxa" w:w="1728"/>
          </w:tcPr>
          <w:p>
            <w:r>
              <w:rPr>
                <w:rFonts w:ascii="Calibri" w:hAnsi="Calibri"/>
                <w:sz w:val="22"/>
              </w:rPr>
              <w:t>$4.0B–$4.2B</w:t>
            </w:r>
          </w:p>
        </w:tc>
        <w:tc>
          <w:tcPr>
            <w:tcW w:type="dxa" w:w="1728"/>
          </w:tcPr>
          <w:p>
            <w:r>
              <w:rPr>
                <w:rFonts w:ascii="Calibri" w:hAnsi="Calibri"/>
                <w:sz w:val="22"/>
              </w:rPr>
              <w:t>—</w:t>
            </w:r>
          </w:p>
        </w:tc>
        <w:tc>
          <w:tcPr>
            <w:tcW w:type="dxa" w:w="1728"/>
          </w:tcPr>
          <w:p>
            <w:r>
              <w:rPr>
                <w:rFonts w:ascii="Calibri" w:hAnsi="Calibri"/>
                <w:sz w:val="22"/>
              </w:rPr>
              <w:t>$4.113B</w:t>
            </w:r>
          </w:p>
        </w:tc>
        <w:tc>
          <w:tcPr>
            <w:tcW w:type="dxa" w:w="1728"/>
          </w:tcPr>
          <w:p>
            <w:r>
              <w:rPr>
                <w:rFonts w:ascii="Calibri" w:hAnsi="Calibri"/>
                <w:sz w:val="22"/>
              </w:rPr>
              <w:t>No change</w:t>
            </w:r>
          </w:p>
        </w:tc>
      </w:tr>
      <w:tr>
        <w:tc>
          <w:tcPr>
            <w:tcW w:type="dxa" w:w="1728"/>
          </w:tcPr>
          <w:p>
            <w:r>
              <w:rPr>
                <w:rFonts w:ascii="Calibri" w:hAnsi="Calibri"/>
                <w:sz w:val="22"/>
              </w:rPr>
              <w:t>FY2026 Noninterest Expense</w:t>
            </w:r>
          </w:p>
        </w:tc>
        <w:tc>
          <w:tcPr>
            <w:tcW w:type="dxa" w:w="1728"/>
          </w:tcPr>
          <w:p>
            <w:r>
              <w:rPr>
                <w:rFonts w:ascii="Calibri" w:hAnsi="Calibri"/>
                <w:sz w:val="22"/>
              </w:rPr>
              <w:t>$7.2B–$7.3B</w:t>
            </w:r>
          </w:p>
        </w:tc>
        <w:tc>
          <w:tcPr>
            <w:tcW w:type="dxa" w:w="1728"/>
          </w:tcPr>
          <w:p>
            <w:r>
              <w:rPr>
                <w:rFonts w:ascii="Calibri" w:hAnsi="Calibri"/>
                <w:sz w:val="22"/>
              </w:rPr>
              <w:t>—</w:t>
            </w:r>
          </w:p>
        </w:tc>
        <w:tc>
          <w:tcPr>
            <w:tcW w:type="dxa" w:w="1728"/>
          </w:tcPr>
          <w:p>
            <w:r>
              <w:rPr>
                <w:rFonts w:ascii="Calibri" w:hAnsi="Calibri"/>
                <w:sz w:val="22"/>
              </w:rPr>
              <w:t>$7.232B</w:t>
            </w:r>
          </w:p>
        </w:tc>
        <w:tc>
          <w:tcPr>
            <w:tcW w:type="dxa" w:w="1728"/>
          </w:tcPr>
          <w:p>
            <w:r>
              <w:rPr>
                <w:rFonts w:ascii="Calibri" w:hAnsi="Calibri"/>
                <w:sz w:val="22"/>
              </w:rPr>
              <w:t>No change; includes $360M net expense synergies</w:t>
            </w:r>
          </w:p>
        </w:tc>
      </w:tr>
      <w:tr>
        <w:tc>
          <w:tcPr>
            <w:tcW w:type="dxa" w:w="1728"/>
          </w:tcPr>
          <w:p>
            <w:r>
              <w:rPr>
                <w:rFonts w:ascii="Calibri" w:hAnsi="Calibri"/>
                <w:sz w:val="22"/>
              </w:rPr>
              <w:t>FY2026 Net Charge-Offs</w:t>
            </w:r>
          </w:p>
        </w:tc>
        <w:tc>
          <w:tcPr>
            <w:tcW w:type="dxa" w:w="1728"/>
          </w:tcPr>
          <w:p>
            <w:r>
              <w:rPr>
                <w:rFonts w:ascii="Calibri" w:hAnsi="Calibri"/>
                <w:sz w:val="22"/>
              </w:rPr>
              <w:t>30–40 bps</w:t>
            </w:r>
          </w:p>
        </w:tc>
        <w:tc>
          <w:tcPr>
            <w:tcW w:type="dxa" w:w="1728"/>
          </w:tcPr>
          <w:p>
            <w:r>
              <w:rPr>
                <w:rFonts w:ascii="Calibri" w:hAnsi="Calibri"/>
                <w:sz w:val="22"/>
              </w:rPr>
              <w:t>—</w:t>
            </w:r>
          </w:p>
        </w:tc>
        <w:tc>
          <w:tcPr>
            <w:tcW w:type="dxa" w:w="1728"/>
          </w:tcPr>
          <w:p>
            <w:r>
              <w:rPr>
                <w:rFonts w:ascii="Calibri" w:hAnsi="Calibri"/>
                <w:sz w:val="22"/>
              </w:rPr>
              <w:t>34 bps</w:t>
            </w:r>
          </w:p>
        </w:tc>
        <w:tc>
          <w:tcPr>
            <w:tcW w:type="dxa" w:w="1728"/>
          </w:tcPr>
          <w:p>
            <w:r>
              <w:rPr>
                <w:rFonts w:ascii="Calibri" w:hAnsi="Calibri"/>
                <w:sz w:val="22"/>
              </w:rPr>
              <w:t>No change</w:t>
            </w:r>
          </w:p>
        </w:tc>
      </w:tr>
      <w:tr>
        <w:tc>
          <w:tcPr>
            <w:tcW w:type="dxa" w:w="1728"/>
          </w:tcPr>
          <w:p>
            <w:r>
              <w:rPr>
                <w:rFonts w:ascii="Calibri" w:hAnsi="Calibri"/>
                <w:sz w:val="22"/>
              </w:rPr>
              <w:t>FY2026 Average Loans</w:t>
            </w:r>
          </w:p>
        </w:tc>
        <w:tc>
          <w:tcPr>
            <w:tcW w:type="dxa" w:w="1728"/>
          </w:tcPr>
          <w:p>
            <w:r>
              <w:rPr>
                <w:rFonts w:ascii="Calibri" w:hAnsi="Calibri"/>
                <w:sz w:val="22"/>
              </w:rPr>
              <w:t>Mid-$170B range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change</w:t>
            </w:r>
          </w:p>
        </w:tc>
      </w:tr>
      <w:tr>
        <w:tc>
          <w:tcPr>
            <w:tcW w:type="dxa" w:w="1728"/>
          </w:tcPr>
          <w:p>
            <w:r>
              <w:rPr>
                <w:rFonts w:ascii="Calibri" w:hAnsi="Calibri"/>
                <w:sz w:val="22"/>
              </w:rPr>
              <w:t>NIM Exit Rate (YE 2026)</w:t>
            </w:r>
          </w:p>
        </w:tc>
        <w:tc>
          <w:tcPr>
            <w:tcW w:type="dxa" w:w="1728"/>
          </w:tcPr>
          <w:p>
            <w:r>
              <w:rPr>
                <w:rFonts w:ascii="Calibri" w:hAnsi="Calibri"/>
                <w:sz w:val="22"/>
              </w:rPr>
              <w:t>~3.40%</w:t>
            </w:r>
          </w:p>
        </w:tc>
        <w:tc>
          <w:tcPr>
            <w:tcW w:type="dxa" w:w="1728"/>
          </w:tcPr>
          <w:p>
            <w:r>
              <w:rPr>
                <w:rFonts w:ascii="Calibri" w:hAnsi="Calibri"/>
                <w:sz w:val="22"/>
              </w:rPr>
              <w:t>—</w:t>
            </w:r>
          </w:p>
        </w:tc>
        <w:tc>
          <w:tcPr>
            <w:tcW w:type="dxa" w:w="1728"/>
          </w:tcPr>
          <w:p>
            <w:r>
              <w:rPr>
                <w:rFonts w:ascii="Calibri" w:hAnsi="Calibri"/>
                <w:sz w:val="22"/>
              </w:rPr>
              <w:t>3.36% (Q2 cons)</w:t>
            </w:r>
          </w:p>
        </w:tc>
        <w:tc>
          <w:tcPr>
            <w:tcW w:type="dxa" w:w="1728"/>
          </w:tcPr>
          <w:p>
            <w:r>
              <w:rPr>
                <w:rFonts w:ascii="Calibri" w:hAnsi="Calibri"/>
                <w:sz w:val="22"/>
              </w:rPr>
              <w:t>Management targeting ~3.40% exit rate; ~1–1.5 bps pickup per quarter</w:t>
            </w:r>
          </w:p>
        </w:tc>
      </w:tr>
      <w:tr>
        <w:tc>
          <w:tcPr>
            <w:tcW w:type="dxa" w:w="1728"/>
          </w:tcPr>
          <w:p>
            <w:r>
              <w:rPr>
                <w:rFonts w:ascii="Calibri" w:hAnsi="Calibri"/>
                <w:sz w:val="22"/>
              </w:rPr>
              <w:t>CET1 Operating Target</w:t>
            </w:r>
          </w:p>
        </w:tc>
        <w:tc>
          <w:tcPr>
            <w:tcW w:type="dxa" w:w="1728"/>
          </w:tcPr>
          <w:p>
            <w:r>
              <w:rPr>
                <w:rFonts w:ascii="Calibri" w:hAnsi="Calibri"/>
                <w:sz w:val="22"/>
              </w:rPr>
              <w:t>10.0%–10.5%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Updated at Q1 earnings to reflect proposed capital rule benefits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Q1 earnings, tracking management’s guidance closely. </w:t>
      </w:r>
      <w:r>
        <w:rPr>
          <w:rFonts w:ascii="Calibri" w:hAnsi="Calibri"/>
          <w:b/>
          <w:color w:val="525866"/>
          <w:sz w:val="22"/>
        </w:rPr>
        <w:t>The Street is not building in meaningful upside to guidance</w:t>
      </w:r>
      <w:r>
        <w:rPr>
          <w:rFonts w:ascii="Calibri" w:hAnsi="Calibri"/>
          <w:color w:val="525866"/>
          <w:sz w:val="22"/>
        </w:rPr>
        <w:t xml:space="preserve"> — which, given management’s conservative guidance history and explicit mid-quarter commentary that Q2 is tracking “slightly better,” implies modest upside risk to consensus.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Estimate ~5 Days Post Q1 Earnings (Apr 24)</w:t>
            </w:r>
          </w:p>
        </w:tc>
        <w:tc>
          <w:tcPr>
            <w:tcW w:type="dxa" w:w="1234"/>
            <w:shd w:val="clear" w:color="auto" w:fill="3B4259"/>
          </w:tcPr>
          <w:p>
            <w:r>
              <w:rPr>
                <w:rFonts w:ascii="Calibri" w:hAnsi="Calibri"/>
                <w:b/>
                <w:color w:val="FFFFFF"/>
                <w:sz w:val="22"/>
              </w:rPr>
              <w:t>Current Consensus (Jul 16)</w:t>
            </w:r>
          </w:p>
        </w:tc>
        <w:tc>
          <w:tcPr>
            <w:tcW w:type="dxa" w:w="1234"/>
            <w:shd w:val="clear" w:color="auto" w:fill="3B4259"/>
          </w:tcPr>
          <w:p>
            <w:r>
              <w:rPr>
                <w:rFonts w:ascii="Calibri" w:hAnsi="Calibri"/>
                <w:b/>
                <w:color w:val="FFFFFF"/>
                <w:sz w:val="22"/>
              </w:rPr>
              <w:t>Estimate Δ</w:t>
            </w:r>
          </w:p>
        </w:tc>
        <w:tc>
          <w:tcPr>
            <w:tcW w:type="dxa" w:w="1234"/>
            <w:shd w:val="clear" w:color="auto" w:fill="3B4259"/>
          </w:tcPr>
          <w:p>
            <w:r>
              <w:rPr>
                <w:rFonts w:ascii="Calibri" w:hAnsi="Calibri"/>
                <w:b/>
                <w:color w:val="FFFFFF"/>
                <w:sz w:val="22"/>
              </w:rPr>
              <w:t>Initial Guidance (Q1 Call)</w:t>
            </w:r>
          </w:p>
        </w:tc>
        <w:tc>
          <w:tcPr>
            <w:tcW w:type="dxa" w:w="1234"/>
            <w:shd w:val="clear" w:color="auto" w:fill="3B4259"/>
          </w:tcPr>
          <w:p>
            <w:r>
              <w:rPr>
                <w:rFonts w:ascii="Calibri" w:hAnsi="Calibri"/>
                <w:b/>
                <w:color w:val="FFFFFF"/>
                <w:sz w:val="22"/>
              </w:rPr>
              <w:t>Current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Q2 2026 NII</w:t>
            </w:r>
          </w:p>
        </w:tc>
        <w:tc>
          <w:tcPr>
            <w:tcW w:type="dxa" w:w="1234"/>
          </w:tcPr>
          <w:p>
            <w:r>
              <w:rPr>
                <w:rFonts w:ascii="Calibri" w:hAnsi="Calibri"/>
                <w:sz w:val="22"/>
              </w:rPr>
              <w:t>$2.217B</w:t>
            </w:r>
          </w:p>
        </w:tc>
        <w:tc>
          <w:tcPr>
            <w:tcW w:type="dxa" w:w="1234"/>
          </w:tcPr>
          <w:p>
            <w:r>
              <w:rPr>
                <w:rFonts w:ascii="Calibri" w:hAnsi="Calibri"/>
                <w:sz w:val="22"/>
              </w:rPr>
              <w:t>$2.212B</w:t>
            </w:r>
          </w:p>
        </w:tc>
        <w:tc>
          <w:tcPr>
            <w:tcW w:type="dxa" w:w="1234"/>
          </w:tcPr>
          <w:p>
            <w:r>
              <w:rPr>
                <w:rFonts w:ascii="Calibri" w:hAnsi="Calibri"/>
                <w:sz w:val="22"/>
              </w:rPr>
              <w:t>-0.2%</w:t>
            </w:r>
          </w:p>
        </w:tc>
        <w:tc>
          <w:tcPr>
            <w:tcW w:type="dxa" w:w="1234"/>
          </w:tcPr>
          <w:p>
            <w:r>
              <w:rPr>
                <w:rFonts w:ascii="Calibri" w:hAnsi="Calibri"/>
                <w:sz w:val="22"/>
              </w:rPr>
              <w:t>$2.20B–$2.25B</w:t>
            </w:r>
          </w:p>
        </w:tc>
        <w:tc>
          <w:tcPr>
            <w:tcW w:type="dxa" w:w="1234"/>
          </w:tcPr>
          <w:p>
            <w:r>
              <w:rPr>
                <w:rFonts w:ascii="Calibri" w:hAnsi="Calibri"/>
                <w:sz w:val="22"/>
              </w:rPr>
              <w:t>Unchanged</w:t>
            </w:r>
          </w:p>
        </w:tc>
        <w:tc>
          <w:tcPr>
            <w:tcW w:type="dxa" w:w="1234"/>
          </w:tcPr>
          <w:p>
            <w:r>
              <w:rPr>
                <w:rFonts w:ascii="Calibri" w:hAnsi="Calibri"/>
                <w:sz w:val="22"/>
              </w:rPr>
              <w:t>At midpoint</w:t>
            </w:r>
          </w:p>
        </w:tc>
      </w:tr>
      <w:tr>
        <w:tc>
          <w:tcPr>
            <w:tcW w:type="dxa" w:w="1234"/>
          </w:tcPr>
          <w:p>
            <w:r>
              <w:rPr>
                <w:rFonts w:ascii="Calibri" w:hAnsi="Calibri"/>
                <w:sz w:val="22"/>
              </w:rPr>
              <w:t>Q2 2026 Operating EPS</w:t>
            </w:r>
          </w:p>
        </w:tc>
        <w:tc>
          <w:tcPr>
            <w:tcW w:type="dxa" w:w="1234"/>
          </w:tcPr>
          <w:p>
            <w:r>
              <w:rPr>
                <w:rFonts w:ascii="Calibri" w:hAnsi="Calibri"/>
                <w:sz w:val="22"/>
              </w:rPr>
              <w:t>$0.986</w:t>
            </w:r>
          </w:p>
        </w:tc>
        <w:tc>
          <w:tcPr>
            <w:tcW w:type="dxa" w:w="1234"/>
          </w:tcPr>
          <w:p>
            <w:r>
              <w:rPr>
                <w:rFonts w:ascii="Calibri" w:hAnsi="Calibri"/>
                <w:sz w:val="22"/>
              </w:rPr>
              <w:t>$0.983</w:t>
            </w:r>
          </w:p>
        </w:tc>
        <w:tc>
          <w:tcPr>
            <w:tcW w:type="dxa" w:w="1234"/>
          </w:tcPr>
          <w:p>
            <w:r>
              <w:rPr>
                <w:rFonts w:ascii="Calibri" w:hAnsi="Calibri"/>
                <w:sz w:val="22"/>
              </w:rPr>
              <w:t>-0.3%</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FY2026 NII</w:t>
            </w:r>
          </w:p>
        </w:tc>
        <w:tc>
          <w:tcPr>
            <w:tcW w:type="dxa" w:w="1234"/>
          </w:tcPr>
          <w:p>
            <w:r>
              <w:rPr>
                <w:rFonts w:ascii="Calibri" w:hAnsi="Calibri"/>
                <w:sz w:val="22"/>
              </w:rPr>
              <w:t>$8.734B</w:t>
            </w:r>
          </w:p>
        </w:tc>
        <w:tc>
          <w:tcPr>
            <w:tcW w:type="dxa" w:w="1234"/>
          </w:tcPr>
          <w:p>
            <w:r>
              <w:rPr>
                <w:rFonts w:ascii="Calibri" w:hAnsi="Calibri"/>
                <w:sz w:val="22"/>
              </w:rPr>
              <w:t>$8.743B</w:t>
            </w:r>
          </w:p>
        </w:tc>
        <w:tc>
          <w:tcPr>
            <w:tcW w:type="dxa" w:w="1234"/>
          </w:tcPr>
          <w:p>
            <w:r>
              <w:rPr>
                <w:rFonts w:ascii="Calibri" w:hAnsi="Calibri"/>
                <w:sz w:val="22"/>
              </w:rPr>
              <w:t>+0.1%</w:t>
            </w:r>
          </w:p>
        </w:tc>
        <w:tc>
          <w:tcPr>
            <w:tcW w:type="dxa" w:w="1234"/>
          </w:tcPr>
          <w:p>
            <w:r>
              <w:rPr>
                <w:rFonts w:ascii="Calibri" w:hAnsi="Calibri"/>
                <w:sz w:val="22"/>
              </w:rPr>
              <w:t>$8.70B–$8.80B</w:t>
            </w:r>
          </w:p>
        </w:tc>
        <w:tc>
          <w:tcPr>
            <w:tcW w:type="dxa" w:w="1234"/>
          </w:tcPr>
          <w:p>
            <w:r>
              <w:rPr>
                <w:rFonts w:ascii="Calibri" w:hAnsi="Calibri"/>
                <w:sz w:val="22"/>
              </w:rPr>
              <w:t>Unchanged</w:t>
            </w:r>
          </w:p>
        </w:tc>
        <w:tc>
          <w:tcPr>
            <w:tcW w:type="dxa" w:w="1234"/>
          </w:tcPr>
          <w:p>
            <w:r>
              <w:rPr>
                <w:rFonts w:ascii="Calibri" w:hAnsi="Calibri"/>
                <w:sz w:val="22"/>
              </w:rPr>
              <w:t>Near midpoint</w:t>
            </w:r>
          </w:p>
        </w:tc>
      </w:tr>
      <w:tr>
        <w:tc>
          <w:tcPr>
            <w:tcW w:type="dxa" w:w="1234"/>
          </w:tcPr>
          <w:p>
            <w:r>
              <w:rPr>
                <w:rFonts w:ascii="Calibri" w:hAnsi="Calibri"/>
                <w:sz w:val="22"/>
              </w:rPr>
              <w:t>FY2026 Operating EPS</w:t>
            </w:r>
          </w:p>
        </w:tc>
        <w:tc>
          <w:tcPr>
            <w:tcW w:type="dxa" w:w="1234"/>
          </w:tcPr>
          <w:p>
            <w:r>
              <w:rPr>
                <w:rFonts w:ascii="Calibri" w:hAnsi="Calibri"/>
                <w:sz w:val="22"/>
              </w:rPr>
              <w:t>$4.122</w:t>
            </w:r>
          </w:p>
        </w:tc>
        <w:tc>
          <w:tcPr>
            <w:tcW w:type="dxa" w:w="1234"/>
          </w:tcPr>
          <w:p>
            <w:r>
              <w:rPr>
                <w:rFonts w:ascii="Calibri" w:hAnsi="Calibri"/>
                <w:sz w:val="22"/>
              </w:rPr>
              <w:t>$4.132</w:t>
            </w:r>
          </w:p>
        </w:tc>
        <w:tc>
          <w:tcPr>
            <w:tcW w:type="dxa" w:w="1234"/>
          </w:tcPr>
          <w:p>
            <w:r>
              <w:rPr>
                <w:rFonts w:ascii="Calibri" w:hAnsi="Calibri"/>
                <w:sz w:val="22"/>
              </w:rPr>
              <w:t>+0.2%</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Estimate revisions have been minimal since Q1 earnings, with both Q2 and FY2026 NII and EPS essentially flat. The Street is tracking management’s guidance without building in meaningful upside, which is consistent with the conservative guidance pattern FITB has historically exhibited. Given management’s explicit commentary that Q2 is tracking “slightly better” than original guidance on both expenses and credit, there may be modest upside to consensus — particularly on the NCO ratio and operating expenses. All data sourced from Visible Alpha.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FITB has significantly outperformed both the regional bank sector (KRE) and the broader market (SPY) since Q1 earnings, driven by a combination of NII estimate revisions, multiple expansion, and growing investor confidence in the Comerica integration execution. </w:t>
      </w:r>
      <w:r>
        <w:rPr>
          <w:rFonts w:ascii="Calibri" w:hAnsi="Calibri"/>
          <w:b/>
          <w:color w:val="525866"/>
          <w:sz w:val="22"/>
        </w:rPr>
        <w:t>The stock’s +17.9% gain vs. KRE’s +10.7% and SPY’s +5.7% suggests some beat expectations are already priced in.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FITB vs KRE (Regional Bank ETF) vs S&amp;P 500 (SPY) — Indexed to 100 at April 17, 2026 (Q1 2026 Earnings Date). FITB closed at $59.37 on July 16, 2026 (+17.9%), vs KRE +10.7% and SPY +5.7%. Source: Stock Price Data.</w:t>
      </w:r>
    </w:p>
    <w:p>
      <w:pPr>
        <w:pStyle w:val="ListBullet"/>
        <w:ind w:left="360" w:hanging="360"/>
      </w:pPr>
      <w:r>
        <w:rPr>
          <w:rFonts w:ascii="Calibri" w:hAnsi="Calibri"/>
          <w:b/>
          <w:color w:val="525866"/>
          <w:sz w:val="22"/>
        </w:rPr>
        <w:t>FITB closed at $59.37 on July 16, 2026</w:t>
      </w:r>
      <w:r>
        <w:rPr>
          <w:rFonts w:ascii="Calibri" w:hAnsi="Calibri"/>
          <w:color w:val="525866"/>
          <w:sz w:val="22"/>
        </w:rPr>
        <w:t>, up +17.9% since Q1 earnings (April 17, 2026 close of $50.34).</w:t>
      </w:r>
    </w:p>
    <w:p>
      <w:pPr>
        <w:pStyle w:val="ListBullet"/>
        <w:ind w:left="360" w:hanging="360"/>
      </w:pPr>
      <w:r>
        <w:rPr>
          <w:rFonts w:ascii="Calibri" w:hAnsi="Calibri"/>
          <w:b/>
          <w:color w:val="525866"/>
          <w:sz w:val="22"/>
        </w:rPr>
        <w:t>KRE (Regional Bank ETF) gained +10.7%</w:t>
      </w:r>
      <w:r>
        <w:rPr>
          <w:rFonts w:ascii="Calibri" w:hAnsi="Calibri"/>
          <w:color w:val="525866"/>
          <w:sz w:val="22"/>
        </w:rPr>
        <w:t xml:space="preserve"> over the same period ($70.37 → $77.92), meaning FITB outperformed the regional bank sector by ~720 bps.</w:t>
      </w:r>
    </w:p>
    <w:p>
      <w:pPr>
        <w:pStyle w:val="ListBullet"/>
        <w:ind w:left="360" w:hanging="360"/>
      </w:pPr>
      <w:r>
        <w:rPr>
          <w:rFonts w:ascii="Calibri" w:hAnsi="Calibri"/>
          <w:b/>
          <w:color w:val="525866"/>
          <w:sz w:val="22"/>
        </w:rPr>
        <w:t>SPY (S&amp;P 500) gained +5.7%</w:t>
      </w:r>
      <w:r>
        <w:rPr>
          <w:rFonts w:ascii="Calibri" w:hAnsi="Calibri"/>
          <w:color w:val="525866"/>
          <w:sz w:val="22"/>
        </w:rPr>
        <w:t xml:space="preserve"> ($710.14 → $750.72), meaning FITB outperformed the broader market by ~1,220 bps.</w:t>
      </w:r>
    </w:p>
    <w:p>
      <w:pPr>
        <w:pStyle w:val="ListBullet"/>
        <w:ind w:left="360" w:hanging="360"/>
      </w:pPr>
      <w:r>
        <w:rPr>
          <w:rFonts w:ascii="Calibri" w:hAnsi="Calibri"/>
          <w:b/>
          <w:color w:val="525866"/>
          <w:sz w:val="22"/>
        </w:rPr>
        <w:t>FITB dipped to ~$47 in mid-May</w:t>
      </w:r>
      <w:r>
        <w:rPr>
          <w:rFonts w:ascii="Calibri" w:hAnsi="Calibri"/>
          <w:color w:val="525866"/>
          <w:sz w:val="22"/>
        </w:rPr>
        <w:t xml:space="preserve"> before recovering strongly through June–July, coinciding with the broader regional bank rally and growing confidence in the Comerica integration.</w:t>
      </w:r>
    </w:p>
    <w:p>
      <w:pPr>
        <w:pStyle w:val="ListBullet"/>
        <w:ind w:left="360" w:hanging="360"/>
      </w:pPr>
      <w:r>
        <w:rPr>
          <w:rFonts w:ascii="Calibri" w:hAnsi="Calibri"/>
          <w:b/>
          <w:color w:val="525866"/>
          <w:sz w:val="22"/>
        </w:rPr>
        <w:t>Key events since Q1 earnings:</w:t>
      </w:r>
      <w:r>
        <w:rPr>
          <w:rFonts w:ascii="Calibri" w:hAnsi="Calibri"/>
          <w:color w:val="525866"/>
          <w:sz w:val="22"/>
        </w:rPr>
        <w:t xml:space="preserve"> Debt Exchange Offer for legacy Comerica debt (May 8) and Morgan Stanley Financials Conference (May 20), where management confirmed Q2 is tracking ahead of original guidance.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material development since Q1 earnings is management’s mid-quarter commentary at the Morgan Stanley Financials Conference (May 20) confirming Q2 is tracking ahead of original guidance on both expenses and credit — </w:t>
      </w:r>
      <w:r>
        <w:rPr>
          <w:rFonts w:ascii="Calibri" w:hAnsi="Calibri"/>
          <w:b/>
          <w:color w:val="525866"/>
          <w:sz w:val="22"/>
        </w:rPr>
        <w:t>a meaningful positive signal given the stock’s subsequent rally.</w:t>
      </w:r>
    </w:p>
    <w:p>
      <w:pPr>
        <w:pStyle w:val="ListBullet"/>
        <w:ind w:left="360" w:hanging="360"/>
      </w:pPr>
      <w:r>
        <w:rPr>
          <w:rFonts w:ascii="Calibri" w:hAnsi="Calibri"/>
          <w:b/>
          <w:color w:val="525866"/>
          <w:sz w:val="22"/>
        </w:rPr>
        <w:t>May 20, 2026 — Morgan Stanley U.S. Financials Conference:</w:t>
      </w:r>
      <w:r>
        <w:rPr>
          <w:rFonts w:ascii="Calibri" w:hAnsi="Calibri"/>
          <w:color w:val="525866"/>
          <w:sz w:val="22"/>
        </w:rPr>
        <w:t xml:space="preserve"> Management confirmed Q2 is tracking slightly better than original guidance on expenses and credit, with charge-offs leaning toward the low end of the 30–35 bps range and PPNR expected to come in slightly better than originally guided. Southwest deposit campaign results dramatically exceeding initial targets — management now expects to deliver double the originally targeted deposit volume from Comerica marketing campaigns in Q2. Commercial line utilization has moved slightly above Q1 entry levels, with management characterizing current fluctuations as normal. </w:t>
      </w:r>
      <w:r>
        <w:rPr>
          <w:rFonts w:ascii="Calibri" w:hAnsi="Calibri"/>
          <w:i/>
          <w:color w:val="525866"/>
          <w:sz w:val="22"/>
        </w:rPr>
        <w:t>Implication: Positive read-through for Q2 results.</w:t>
      </w:r>
    </w:p>
    <w:p>
      <w:pPr>
        <w:pStyle w:val="ListBullet"/>
        <w:ind w:left="360" w:hanging="360"/>
      </w:pPr>
      <w:r>
        <w:rPr>
          <w:rFonts w:ascii="Calibri" w:hAnsi="Calibri"/>
          <w:b/>
          <w:color w:val="525866"/>
          <w:sz w:val="22"/>
        </w:rPr>
        <w:t>May 8, 2026 — Debt Exchange Offer for Legacy Comerica Debt:</w:t>
      </w:r>
      <w:r>
        <w:rPr>
          <w:rFonts w:ascii="Calibri" w:hAnsi="Calibri"/>
          <w:color w:val="525866"/>
          <w:sz w:val="22"/>
        </w:rPr>
        <w:t xml:space="preserve"> Fifth Third launched an exchange offer and consent solicitation for legacy Comerica debt, a routine integration step to consolidate the combined entity’s capital structure. </w:t>
      </w:r>
      <w:r>
        <w:rPr>
          <w:rFonts w:ascii="Calibri" w:hAnsi="Calibri"/>
          <w:i/>
          <w:color w:val="525866"/>
          <w:sz w:val="22"/>
        </w:rPr>
        <w:t>Implication: Integration proceeding on plan; no credit concerns implied.</w:t>
      </w:r>
    </w:p>
    <w:p>
      <w:pPr>
        <w:pStyle w:val="ListBullet"/>
        <w:ind w:left="360" w:hanging="360"/>
      </w:pPr>
      <w:r>
        <w:rPr>
          <w:rFonts w:ascii="Calibri" w:hAnsi="Calibri"/>
          <w:b/>
          <w:color w:val="525866"/>
          <w:sz w:val="22"/>
        </w:rPr>
        <w:t>June 5, 2026 — Newline Recognized by American Banker:</w:t>
      </w:r>
      <w:r>
        <w:rPr>
          <w:rFonts w:ascii="Calibri" w:hAnsi="Calibri"/>
          <w:color w:val="525866"/>
          <w:sz w:val="22"/>
        </w:rPr>
        <w:t xml:space="preserve"> Fifth Third’s Newline embedded payments platform was recognized by American Banker for powering next-generation payments infrastructure. </w:t>
      </w:r>
      <w:r>
        <w:rPr>
          <w:rFonts w:ascii="Calibri" w:hAnsi="Calibri"/>
          <w:i/>
          <w:color w:val="525866"/>
          <w:sz w:val="22"/>
        </w:rPr>
        <w:t>Implication: Positive for commercial payments revenue trajectory and fee income growth.</w:t>
      </w:r>
    </w:p>
    <w:p>
      <w:pPr>
        <w:pStyle w:val="ListBullet"/>
        <w:ind w:left="360" w:hanging="360"/>
      </w:pPr>
      <w:r>
        <w:rPr>
          <w:rFonts w:ascii="Calibri" w:hAnsi="Calibri"/>
          <w:b/>
          <w:color w:val="525866"/>
          <w:sz w:val="22"/>
        </w:rPr>
        <w:t>April 24, 2026 — Annual Shareholder Meeting:</w:t>
      </w:r>
      <w:r>
        <w:rPr>
          <w:rFonts w:ascii="Calibri" w:hAnsi="Calibri"/>
          <w:color w:val="525866"/>
          <w:sz w:val="22"/>
        </w:rPr>
        <w:t xml:space="preserve"> Shareholders backed the board, auditor, and executive pay. No material governance concerns. </w:t>
      </w:r>
      <w:r>
        <w:rPr>
          <w:rFonts w:ascii="Calibri" w:hAnsi="Calibri"/>
          <w:i/>
          <w:color w:val="525866"/>
          <w:sz w:val="22"/>
        </w:rPr>
        <w:t>Implication: Neutral.</w:t>
      </w:r>
    </w:p>
    <w:p>
      <w:pPr>
        <w:pStyle w:val="ListBullet"/>
        <w:ind w:left="360" w:hanging="360"/>
      </w:pPr>
      <w:r>
        <w:rPr>
          <w:rFonts w:ascii="Calibri" w:hAnsi="Calibri"/>
          <w:b/>
          <w:color w:val="525866"/>
          <w:sz w:val="22"/>
        </w:rPr>
        <w:t>Ongoing — Comerica System Conversion:</w:t>
      </w:r>
      <w:r>
        <w:rPr>
          <w:rFonts w:ascii="Calibri" w:hAnsi="Calibri"/>
          <w:color w:val="525866"/>
          <w:sz w:val="22"/>
        </w:rPr>
        <w:t xml:space="preserve"> Labor Day weekend system conversion remains on track. First full mock conversion was completed in April with expected learnings identified around data sequencing and master customer file construction. </w:t>
      </w:r>
      <w:r>
        <w:rPr>
          <w:rFonts w:ascii="Calibri" w:hAnsi="Calibri"/>
          <w:i/>
          <w:color w:val="525866"/>
          <w:sz w:val="22"/>
        </w:rPr>
        <w:t>Implication: Execution risk remains but management confidence is high; any update on mock conversion progress will be closely watched.</w:t>
      </w:r>
    </w:p>
    <w:p>
      <w:pPr>
        <w:pStyle w:val="ListBullet"/>
        <w:ind w:left="360" w:hanging="360"/>
      </w:pPr>
      <w:r>
        <w:rPr>
          <w:rFonts w:ascii="Calibri" w:hAnsi="Calibri"/>
          <w:b/>
          <w:color w:val="525866"/>
          <w:sz w:val="22"/>
        </w:rPr>
        <w:t>Macro — Iran War / Energy Prices:</w:t>
      </w:r>
      <w:r>
        <w:rPr>
          <w:rFonts w:ascii="Calibri" w:hAnsi="Calibri"/>
          <w:color w:val="525866"/>
          <w:sz w:val="22"/>
        </w:rPr>
        <w:t xml:space="preserve"> Management noted at Q1 earnings they are “closely evaluating the direct impacts of the war in Iran on energy and other commodities.” Higher energy costs could pressure consumer spending and commercial borrowers in energy-sensitive sectors. </w:t>
      </w:r>
      <w:r>
        <w:rPr>
          <w:rFonts w:ascii="Calibri" w:hAnsi="Calibri"/>
          <w:i/>
          <w:color w:val="525866"/>
          <w:sz w:val="22"/>
        </w:rPr>
        <w:t>Implication: Modest credit risk; management has already applied a qualitative ACL adjustment.</w:t>
      </w:r>
    </w:p>
    <w:p>
      <w:pPr>
        <w:pStyle w:val="ListBullet"/>
        <w:ind w:left="360" w:hanging="360"/>
      </w:pPr>
      <w:r>
        <w:rPr>
          <w:rFonts w:ascii="Calibri" w:hAnsi="Calibri"/>
          <w:b/>
          <w:color w:val="525866"/>
          <w:sz w:val="22"/>
        </w:rPr>
        <w:t>Macro — Rate Environment:</w:t>
      </w:r>
      <w:r>
        <w:rPr>
          <w:rFonts w:ascii="Calibri" w:hAnsi="Calibri"/>
          <w:color w:val="525866"/>
          <w:sz w:val="22"/>
        </w:rPr>
        <w:t xml:space="preserve"> Market is now pricing in the possibility of one or two rate hikes in 2026 (a shift from the prior no-cut assumption). Management noted this would be incrementally positive given the more asset-sensitive balance sheet post-Comerica. </w:t>
      </w:r>
      <w:r>
        <w:rPr>
          <w:rFonts w:ascii="Calibri" w:hAnsi="Calibri"/>
          <w:i/>
          <w:color w:val="525866"/>
          <w:sz w:val="22"/>
        </w:rPr>
        <w:t>Implication: Positive for NII if hikes materialize.</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Peers reporting Q2 2026 results (WFC, BAC, PNC, USB, MTB, CFG) paint a </w:t>
      </w:r>
      <w:r>
        <w:rPr>
          <w:rFonts w:ascii="Calibri" w:hAnsi="Calibri"/>
          <w:b/>
          <w:color w:val="525866"/>
          <w:sz w:val="22"/>
        </w:rPr>
        <w:t>broadly constructive picture for FITB</w:t>
      </w:r>
      <w:r>
        <w:rPr>
          <w:rFonts w:ascii="Calibri" w:hAnsi="Calibri"/>
          <w:color w:val="525866"/>
          <w:sz w:val="22"/>
        </w:rPr>
        <w:t xml:space="preserve"> — NII is expanding across the sector, credit quality is strong, C&amp;I loan growth is accelerating, and capital markets/fee income is robust. The key FITB-specific read-through is that NIM expansion is achievable and deposit costs are manageable, supporting FITB’s guided NIM trajectory toward ~3.40% by year-end.</w:t>
      </w:r>
    </w:p>
    <w:p>
      <w:r>
        <w:rPr>
          <w:rFonts w:ascii="Calibri" w:hAnsi="Calibri"/>
          <w:b/>
          <w:color w:val="525866"/>
          <w:sz w:val="22"/>
        </w:rPr>
        <w:t xml:space="preserve">Note: </w:t>
      </w:r>
      <w:r>
        <w:rPr>
          <w:rFonts w:ascii="Calibri" w:hAnsi="Calibri"/>
          <w:i/>
          <w:color w:val="525866"/>
          <w:sz w:val="22"/>
        </w:rPr>
        <w:t>All peer commentary below is sourced from Q2 2026 earnings calls and releases (July 14–16, 2026) and post-Q1 2026 conference appearances (May–June 2026). Only commentary about the current reporting quarter (Q2 2026) or forward-looking commentary made after FITB’s last earnings (April 17, 2026) is included.</w:t>
      </w:r>
    </w:p>
    <w:p>
      <w:pPr>
        <w:pStyle w:val="Heading3"/>
      </w:pPr>
      <w:r>
        <w:rPr>
          <w:rFonts w:ascii="Calibri" w:hAnsi="Calibri"/>
          <w:b/>
          <w:color w:val="3B4259"/>
          <w:sz w:val="24"/>
        </w:rPr>
        <w:t>NII &amp; NIM — Broadly Positive Read-Through</w:t>
      </w:r>
    </w:p>
    <w:p>
      <w:pPr>
        <w:pStyle w:val="ListBullet"/>
        <w:ind w:left="360" w:hanging="360"/>
      </w:pPr>
      <w:r>
        <w:rPr>
          <w:rFonts w:ascii="Calibri" w:hAnsi="Calibri"/>
          <w:b/>
          <w:color w:val="525866"/>
          <w:sz w:val="22"/>
        </w:rPr>
        <w:t>Wells Fargo (WFC, Q2 2026 Earnings):</w:t>
      </w:r>
      <w:r>
        <w:rPr>
          <w:rFonts w:ascii="Calibri" w:hAnsi="Calibri"/>
          <w:color w:val="525866"/>
          <w:sz w:val="22"/>
        </w:rPr>
        <w:t xml:space="preserve"> WFC reported NII up 5% YoY and 2% QoQ, maintaining full-year NII guidance of “$50B plus or minus.” WFC noted NIM declined 4 bps QoQ (slower than the 13 bps decline in Q1), driven by growth in interest-bearing deposits and markets business expansion. WFC expects “modest NIM compression in Q3, broadly in line with Q2’s decline, before stabilizing in Q4.” </w:t>
      </w:r>
      <w:r>
        <w:rPr>
          <w:rFonts w:ascii="Calibri" w:hAnsi="Calibri"/>
          <w:i/>
          <w:color w:val="525866"/>
          <w:sz w:val="22"/>
        </w:rPr>
        <w:t>Read-through for FITB:</w:t>
      </w:r>
      <w:r>
        <w:rPr>
          <w:rFonts w:ascii="Calibri" w:hAnsi="Calibri"/>
          <w:i/>
          <w:color w:val="525866"/>
          <w:sz w:val="22"/>
        </w:rPr>
        <w:t xml:space="preserve"> WFC’s NIM compression is driven by its large markets business — FITB’s NIM expansion story is structurally different (fixed-rate asset repricing, purchase accounting accretion, terminated swap benefits). FITB’s guided 3–5 bps QoQ NIM expansion in Q2 is consistent with the sector’s fixed-rate repricing tailwind.</w:t>
      </w:r>
    </w:p>
    <w:p>
      <w:pPr>
        <w:pStyle w:val="ListBullet"/>
        <w:ind w:left="360" w:hanging="360"/>
      </w:pPr>
      <w:r>
        <w:rPr>
          <w:rFonts w:ascii="Calibri" w:hAnsi="Calibri"/>
          <w:b/>
          <w:color w:val="525866"/>
          <w:sz w:val="22"/>
        </w:rPr>
        <w:t>Bank of America (BAC, Q2 2026 Earnings):</w:t>
      </w:r>
      <w:r>
        <w:rPr>
          <w:rFonts w:ascii="Calibri" w:hAnsi="Calibri"/>
          <w:color w:val="525866"/>
          <w:sz w:val="22"/>
        </w:rPr>
        <w:t xml:space="preserve"> BAC reported NII up 9% YoY, raising full-year NII growth guidance to “the upper end of 6–8%.” BAC noted its banking book remains asset-sensitive, with a 100 bps parallel shift expected to increase NII by $1B over the next 12 months. The current forward curve includes a 125 bps rate hike in September. </w:t>
      </w:r>
      <w:r>
        <w:rPr>
          <w:rFonts w:ascii="Calibri" w:hAnsi="Calibri"/>
          <w:i/>
          <w:color w:val="525866"/>
          <w:sz w:val="22"/>
        </w:rPr>
        <w:t>Read-through for FITB:</w:t>
      </w:r>
      <w:r>
        <w:rPr>
          <w:rFonts w:ascii="Calibri" w:hAnsi="Calibri"/>
          <w:i/>
          <w:color w:val="525866"/>
          <w:sz w:val="22"/>
        </w:rPr>
        <w:t xml:space="preserve"> BAC’s asset-sensitive commentary and the market’s pricing of rate hikes in 2026 is incrementally positive for FITB, which management noted would benefit from one or two rate hikes given the more asset-sensitive balance sheet post-Comerica.</w:t>
      </w:r>
    </w:p>
    <w:p>
      <w:pPr>
        <w:pStyle w:val="ListBullet"/>
        <w:ind w:left="360" w:hanging="360"/>
      </w:pPr>
      <w:r>
        <w:rPr>
          <w:rFonts w:ascii="Calibri" w:hAnsi="Calibri"/>
          <w:b/>
          <w:color w:val="525866"/>
          <w:sz w:val="22"/>
        </w:rPr>
        <w:t>PNC Financial (PNC, Q2 2026 Earnings):</w:t>
      </w:r>
      <w:r>
        <w:rPr>
          <w:rFonts w:ascii="Calibri" w:hAnsi="Calibri"/>
          <w:color w:val="525866"/>
          <w:sz w:val="22"/>
        </w:rPr>
        <w:t xml:space="preserve"> PNC reported NII of $4.1B (+$146M QoQ), with NIM of 2.96% (+1 bp QoQ). PNC expects to exceed 3% NIM by year-end and guided Q3 NII up 3–3.5% QoQ. PNC noted NIM was constrained by the influx of higher credit quality, lower spread commercial loans. </w:t>
      </w:r>
      <w:r>
        <w:rPr>
          <w:rFonts w:ascii="Calibri" w:hAnsi="Calibri"/>
          <w:i/>
          <w:color w:val="525866"/>
          <w:sz w:val="22"/>
        </w:rPr>
        <w:t>Read-through for FITB:</w:t>
      </w:r>
      <w:r>
        <w:rPr>
          <w:rFonts w:ascii="Calibri" w:hAnsi="Calibri"/>
          <w:i/>
          <w:color w:val="525866"/>
          <w:sz w:val="22"/>
        </w:rPr>
        <w:t xml:space="preserve"> PNC’s NIM trajectory toward 3%+ by year-end is directionally consistent with FITB’s guided trajectory toward ~3.40% — both are benefiting from fixed-rate repricing and deposit cost management.</w:t>
      </w:r>
    </w:p>
    <w:p>
      <w:pPr>
        <w:pStyle w:val="ListBullet"/>
        <w:ind w:left="360" w:hanging="360"/>
      </w:pPr>
      <w:r>
        <w:rPr>
          <w:rFonts w:ascii="Calibri" w:hAnsi="Calibri"/>
          <w:b/>
          <w:color w:val="525866"/>
          <w:sz w:val="22"/>
        </w:rPr>
        <w:t>Citizens Financial (CFG, Q2 2026 Earnings):</w:t>
      </w:r>
      <w:r>
        <w:rPr>
          <w:rFonts w:ascii="Calibri" w:hAnsi="Calibri"/>
          <w:color w:val="525866"/>
          <w:sz w:val="22"/>
        </w:rPr>
        <w:t xml:space="preserve"> CFG reported NII up 4.4% QoQ and 14% YoY, with NIM expanding 3 bps QoQ for a combined 10 bps lift in H1 2026. CFG guided Q3 NII up 3.5–5% QoQ and projects a Q4 2026 NIM of 3.22–3.27%. </w:t>
      </w:r>
      <w:r>
        <w:rPr>
          <w:rFonts w:ascii="Calibri" w:hAnsi="Calibri"/>
          <w:i/>
          <w:color w:val="525866"/>
          <w:sz w:val="22"/>
        </w:rPr>
        <w:t>Read-through for FITB:</w:t>
      </w:r>
      <w:r>
        <w:rPr>
          <w:rFonts w:ascii="Calibri" w:hAnsi="Calibri"/>
          <w:i/>
          <w:color w:val="525866"/>
          <w:sz w:val="22"/>
        </w:rPr>
        <w:t xml:space="preserve"> CFG’s NIM expansion is driven by terminated swap benefits and fixed-rate repricing — the same structural tailwinds benefiting FITB. CFG’s Q4 2026 NIM target of 3.22–3.27% is below FITB’s ~3.40% target, consistent with FITB’s stronger funding cost advantage post-Comerica.</w:t>
      </w:r>
    </w:p>
    <w:p>
      <w:pPr>
        <w:pStyle w:val="ListBullet"/>
        <w:ind w:left="360" w:hanging="360"/>
      </w:pPr>
      <w:r>
        <w:rPr>
          <w:rFonts w:ascii="Calibri" w:hAnsi="Calibri"/>
          <w:b/>
          <w:color w:val="525866"/>
          <w:sz w:val="22"/>
        </w:rPr>
        <w:t>M&amp;T Bank (MTB, Q2 2026 Earnings):</w:t>
      </w:r>
      <w:r>
        <w:rPr>
          <w:rFonts w:ascii="Calibri" w:hAnsi="Calibri"/>
          <w:color w:val="525866"/>
          <w:sz w:val="22"/>
        </w:rPr>
        <w:t xml:space="preserve"> MTB reported NIM of 3.70% (unchanged QoQ), with full-year NIM guidance in the “high 3.60s.” MTB noted its naturally asset-sensitive balance sheet provides flexibility. </w:t>
      </w:r>
      <w:r>
        <w:rPr>
          <w:rFonts w:ascii="Calibri" w:hAnsi="Calibri"/>
          <w:i/>
          <w:color w:val="525866"/>
          <w:sz w:val="22"/>
        </w:rPr>
        <w:t>Read-through for FITB:</w:t>
      </w:r>
      <w:r>
        <w:rPr>
          <w:rFonts w:ascii="Calibri" w:hAnsi="Calibri"/>
          <w:i/>
          <w:color w:val="525866"/>
          <w:sz w:val="22"/>
        </w:rPr>
        <w:t xml:space="preserve"> MTB’s stable NIM at elevated levels confirms that well-positioned regional banks can maintain strong margins in the current rate environment.</w:t>
      </w:r>
    </w:p>
    <w:p>
      <w:pPr>
        <w:pStyle w:val="ListBullet"/>
        <w:ind w:left="360" w:hanging="360"/>
      </w:pPr>
      <w:r>
        <w:rPr>
          <w:rFonts w:ascii="Calibri" w:hAnsi="Calibri"/>
          <w:b/>
          <w:color w:val="525866"/>
          <w:sz w:val="22"/>
        </w:rPr>
        <w:t>U.S. Bancorp (USB, Q2 2026 Earnings):</w:t>
      </w:r>
      <w:r>
        <w:rPr>
          <w:rFonts w:ascii="Calibri" w:hAnsi="Calibri"/>
          <w:color w:val="525866"/>
          <w:sz w:val="22"/>
        </w:rPr>
        <w:t xml:space="preserve"> USB reported NII up 7.5% YoY and 2.2% QoQ, with NIM improving 2 bps QoQ to 2.79%. USB guided full-year NII growth “north of 5%” and sees a path to 3% NIM in 2027. </w:t>
      </w:r>
      <w:r>
        <w:rPr>
          <w:rFonts w:ascii="Calibri" w:hAnsi="Calibri"/>
          <w:i/>
          <w:color w:val="525866"/>
          <w:sz w:val="22"/>
        </w:rPr>
        <w:t>Read-through for FITB:</w:t>
      </w:r>
      <w:r>
        <w:rPr>
          <w:rFonts w:ascii="Calibri" w:hAnsi="Calibri"/>
          <w:i/>
          <w:color w:val="525866"/>
          <w:sz w:val="22"/>
        </w:rPr>
        <w:t xml:space="preserve"> USB’s NIM expansion trajectory toward 3% in 2027 is consistent with the sector-wide fixed-rate repricing tailwind that FITB is also benefiting from.</w:t>
      </w:r>
    </w:p>
    <w:p>
      <w:pPr>
        <w:pStyle w:val="Heading3"/>
      </w:pPr>
      <w:r>
        <w:rPr>
          <w:rFonts w:ascii="Calibri" w:hAnsi="Calibri"/>
          <w:b/>
          <w:color w:val="3B4259"/>
          <w:sz w:val="24"/>
        </w:rPr>
        <w:t>Credit Quality — Broadly Positive Read-Through</w:t>
      </w:r>
    </w:p>
    <w:p>
      <w:pPr>
        <w:pStyle w:val="ListBullet"/>
        <w:ind w:left="360" w:hanging="360"/>
      </w:pPr>
      <w:r>
        <w:rPr>
          <w:rFonts w:ascii="Calibri" w:hAnsi="Calibri"/>
          <w:b/>
          <w:color w:val="525866"/>
          <w:sz w:val="22"/>
        </w:rPr>
        <w:t>Wells Fargo (WFC, Q2 2026):</w:t>
      </w:r>
      <w:r>
        <w:rPr>
          <w:rFonts w:ascii="Calibri" w:hAnsi="Calibri"/>
          <w:color w:val="525866"/>
          <w:sz w:val="22"/>
        </w:rPr>
        <w:t xml:space="preserve"> Net charge-off ratio of 34 bps, down 10 bps YoY. Commercial credit particularly strong at 10 bps NCO. Non-performing assets declined both QoQ and YoY. </w:t>
      </w:r>
      <w:r>
        <w:rPr>
          <w:rFonts w:ascii="Calibri" w:hAnsi="Calibri"/>
          <w:i/>
          <w:color w:val="525866"/>
          <w:sz w:val="22"/>
        </w:rPr>
        <w:t>Read-through for FITB:</w:t>
      </w:r>
      <w:r>
        <w:rPr>
          <w:rFonts w:ascii="Calibri" w:hAnsi="Calibri"/>
          <w:i/>
          <w:color w:val="525866"/>
          <w:sz w:val="22"/>
        </w:rPr>
        <w:t xml:space="preserve"> Sector credit quality remains benign; supports FITB’s guided 30–35 bps NCO range for Q2.</w:t>
      </w:r>
    </w:p>
    <w:p>
      <w:pPr>
        <w:pStyle w:val="ListBullet"/>
        <w:ind w:left="360" w:hanging="360"/>
      </w:pPr>
      <w:r>
        <w:rPr>
          <w:rFonts w:ascii="Calibri" w:hAnsi="Calibri"/>
          <w:b/>
          <w:color w:val="525866"/>
          <w:sz w:val="22"/>
        </w:rPr>
        <w:t>Bank of America (BAC, Q2 2026):</w:t>
      </w:r>
      <w:r>
        <w:rPr>
          <w:rFonts w:ascii="Calibri" w:hAnsi="Calibri"/>
          <w:color w:val="525866"/>
          <w:sz w:val="22"/>
        </w:rPr>
        <w:t xml:space="preserve"> Net charge-offs of $1.4B (unchanged from Q1). Consumer credit card charge-offs and delinquencies improved both YoY and QoQ. Reservable criticized commercial exposures declined ~$2.3B QoQ. </w:t>
      </w:r>
      <w:r>
        <w:rPr>
          <w:rFonts w:ascii="Calibri" w:hAnsi="Calibri"/>
          <w:i/>
          <w:color w:val="525866"/>
          <w:sz w:val="22"/>
        </w:rPr>
        <w:t>Read-through for FITB:</w:t>
      </w:r>
      <w:r>
        <w:rPr>
          <w:rFonts w:ascii="Calibri" w:hAnsi="Calibri"/>
          <w:i/>
          <w:color w:val="525866"/>
          <w:sz w:val="22"/>
        </w:rPr>
        <w:t xml:space="preserve"> Improving criticized commercial exposures at BAC is a positive signal for FITB’s commercial portfolio.</w:t>
      </w:r>
    </w:p>
    <w:p>
      <w:pPr>
        <w:pStyle w:val="ListBullet"/>
        <w:ind w:left="360" w:hanging="360"/>
      </w:pPr>
      <w:r>
        <w:rPr>
          <w:rFonts w:ascii="Calibri" w:hAnsi="Calibri"/>
          <w:b/>
          <w:color w:val="525866"/>
          <w:sz w:val="22"/>
        </w:rPr>
        <w:t>PNC Financial (PNC, Q2 2026):</w:t>
      </w:r>
      <w:r>
        <w:rPr>
          <w:rFonts w:ascii="Calibri" w:hAnsi="Calibri"/>
          <w:color w:val="525866"/>
          <w:sz w:val="22"/>
        </w:rPr>
        <w:t xml:space="preserve"> NCO ratio of 25 bps. Non-performing loans declined 10% QoQ to 0.55% of total loans. No big pockets of concern forming. </w:t>
      </w:r>
      <w:r>
        <w:rPr>
          <w:rFonts w:ascii="Calibri" w:hAnsi="Calibri"/>
          <w:i/>
          <w:color w:val="525866"/>
          <w:sz w:val="22"/>
        </w:rPr>
        <w:t>Read-through for FITB:</w:t>
      </w:r>
      <w:r>
        <w:rPr>
          <w:rFonts w:ascii="Calibri" w:hAnsi="Calibri"/>
          <w:i/>
          <w:color w:val="525866"/>
          <w:sz w:val="22"/>
        </w:rPr>
        <w:t xml:space="preserve"> PNC’s 25 bps NCO is below FITB’s guided 30–35 bps range, but PNC has a different portfolio mix; the directional trend is positive.</w:t>
      </w:r>
    </w:p>
    <w:p>
      <w:pPr>
        <w:pStyle w:val="ListBullet"/>
        <w:ind w:left="360" w:hanging="360"/>
      </w:pPr>
      <w:r>
        <w:rPr>
          <w:rFonts w:ascii="Calibri" w:hAnsi="Calibri"/>
          <w:b/>
          <w:color w:val="525866"/>
          <w:sz w:val="22"/>
        </w:rPr>
        <w:t>M&amp;T Bank (MTB, Q2 2026):</w:t>
      </w:r>
      <w:r>
        <w:rPr>
          <w:rFonts w:ascii="Calibri" w:hAnsi="Calibri"/>
          <w:color w:val="525866"/>
          <w:sz w:val="22"/>
        </w:rPr>
        <w:t xml:space="preserve"> NCO ratio of 23 bps (down from 31 bps QoQ). Non-accrual loans at a two-decade low. Criticized loans still have room to come down. </w:t>
      </w:r>
      <w:r>
        <w:rPr>
          <w:rFonts w:ascii="Calibri" w:hAnsi="Calibri"/>
          <w:i/>
          <w:color w:val="525866"/>
          <w:sz w:val="22"/>
        </w:rPr>
        <w:t>Read-through for FITB:</w:t>
      </w:r>
      <w:r>
        <w:rPr>
          <w:rFonts w:ascii="Calibri" w:hAnsi="Calibri"/>
          <w:i/>
          <w:color w:val="525866"/>
          <w:sz w:val="22"/>
        </w:rPr>
        <w:t xml:space="preserve"> MTB’s NCO at a two-decade low and criticized loan improvement is a strong positive signal for the regional bank credit cycle.</w:t>
      </w:r>
    </w:p>
    <w:p>
      <w:pPr>
        <w:pStyle w:val="ListBullet"/>
        <w:ind w:left="360" w:hanging="360"/>
      </w:pPr>
      <w:r>
        <w:rPr>
          <w:rFonts w:ascii="Calibri" w:hAnsi="Calibri"/>
          <w:b/>
          <w:color w:val="525866"/>
          <w:sz w:val="22"/>
        </w:rPr>
        <w:t>Citizens Financial (CFG, Q2 2026):</w:t>
      </w:r>
      <w:r>
        <w:rPr>
          <w:rFonts w:ascii="Calibri" w:hAnsi="Calibri"/>
          <w:color w:val="525866"/>
          <w:sz w:val="22"/>
        </w:rPr>
        <w:t xml:space="preserve"> NCO ratio of 37 bps (down from 39 bps QoQ). Non-accrual loans down 4% QoQ. Credit outlook described as “positive.” </w:t>
      </w:r>
      <w:r>
        <w:rPr>
          <w:rFonts w:ascii="Calibri" w:hAnsi="Calibri"/>
          <w:i/>
          <w:color w:val="525866"/>
          <w:sz w:val="22"/>
        </w:rPr>
        <w:t>Read-through for FITB:</w:t>
      </w:r>
      <w:r>
        <w:rPr>
          <w:rFonts w:ascii="Calibri" w:hAnsi="Calibri"/>
          <w:i/>
          <w:color w:val="525866"/>
          <w:sz w:val="22"/>
        </w:rPr>
        <w:t xml:space="preserve"> CFG’s improving credit metrics support FITB’s guided NCO trajectory toward the low end of the 30–35 bps range.</w:t>
      </w:r>
    </w:p>
    <w:p>
      <w:pPr>
        <w:pStyle w:val="Heading3"/>
      </w:pPr>
      <w:r>
        <w:rPr>
          <w:rFonts w:ascii="Calibri" w:hAnsi="Calibri"/>
          <w:b/>
          <w:color w:val="3B4259"/>
          <w:sz w:val="24"/>
        </w:rPr>
        <w:t>C&amp;I Loan Growth &amp; Line Utilization — Positive Read-Through</w:t>
      </w:r>
    </w:p>
    <w:p>
      <w:pPr>
        <w:pStyle w:val="ListBullet"/>
        <w:ind w:left="360" w:hanging="360"/>
      </w:pPr>
      <w:r>
        <w:rPr>
          <w:rFonts w:ascii="Calibri" w:hAnsi="Calibri"/>
          <w:b/>
          <w:color w:val="525866"/>
          <w:sz w:val="22"/>
        </w:rPr>
        <w:t>PNC Financial (PNC, Q2 2026):</w:t>
      </w:r>
      <w:r>
        <w:rPr>
          <w:rFonts w:ascii="Calibri" w:hAnsi="Calibri"/>
          <w:color w:val="525866"/>
          <w:sz w:val="22"/>
        </w:rPr>
        <w:t xml:space="preserve"> “Virtually all of the loan growth was in C&amp;I, reflecting strong new production and higher utilization across almost every loan category.” PNC noted “for the first time I can remember, we had strong growth across every category inside of the C&amp;I franchise and utilization increases.” </w:t>
      </w:r>
      <w:r>
        <w:rPr>
          <w:rFonts w:ascii="Calibri" w:hAnsi="Calibri"/>
          <w:i/>
          <w:color w:val="525866"/>
          <w:sz w:val="22"/>
        </w:rPr>
        <w:t>Read-through for FITB:</w:t>
      </w:r>
      <w:r>
        <w:rPr>
          <w:rFonts w:ascii="Calibri" w:hAnsi="Calibri"/>
          <w:i/>
          <w:color w:val="525866"/>
          <w:sz w:val="22"/>
        </w:rPr>
        <w:t xml:space="preserve"> PNC’s broad-based C&amp;I growth and utilization increases are a strong positive read-through for FITB’s guided average loan growth of $178–179B in Q2, driven by C&amp;I, home equity, and auto.</w:t>
      </w:r>
    </w:p>
    <w:p>
      <w:pPr>
        <w:pStyle w:val="ListBullet"/>
        <w:ind w:left="360" w:hanging="360"/>
      </w:pPr>
      <w:r>
        <w:rPr>
          <w:rFonts w:ascii="Calibri" w:hAnsi="Calibri"/>
          <w:b/>
          <w:color w:val="525866"/>
          <w:sz w:val="22"/>
        </w:rPr>
        <w:t>M&amp;T Bank (MTB, Q2 2026):</w:t>
      </w:r>
      <w:r>
        <w:rPr>
          <w:rFonts w:ascii="Calibri" w:hAnsi="Calibri"/>
          <w:color w:val="525866"/>
          <w:sz w:val="22"/>
        </w:rPr>
        <w:t xml:space="preserve"> “Strongest quarterly loan growth since 2012, excluding acquisitions.” Middle market balances benefited from “higher utilization rates.” </w:t>
      </w:r>
      <w:r>
        <w:rPr>
          <w:rFonts w:ascii="Calibri" w:hAnsi="Calibri"/>
          <w:i/>
          <w:color w:val="525866"/>
          <w:sz w:val="22"/>
        </w:rPr>
        <w:t>Read-through for FITB:</w:t>
      </w:r>
      <w:r>
        <w:rPr>
          <w:rFonts w:ascii="Calibri" w:hAnsi="Calibri"/>
          <w:i/>
          <w:color w:val="525866"/>
          <w:sz w:val="22"/>
        </w:rPr>
        <w:t xml:space="preserve"> MTB’s record loan growth and utilization pickup is consistent with FITB’s commentary that commercial line utilization has moved slightly above Q1 entry levels.</w:t>
      </w:r>
    </w:p>
    <w:p>
      <w:pPr>
        <w:pStyle w:val="ListBullet"/>
        <w:ind w:left="360" w:hanging="360"/>
      </w:pPr>
      <w:r>
        <w:rPr>
          <w:rFonts w:ascii="Calibri" w:hAnsi="Calibri"/>
          <w:b/>
          <w:color w:val="525866"/>
          <w:sz w:val="22"/>
        </w:rPr>
        <w:t>Citizens Financial (CFG, Q2 2026):</w:t>
      </w:r>
      <w:r>
        <w:rPr>
          <w:rFonts w:ascii="Calibri" w:hAnsi="Calibri"/>
          <w:color w:val="525866"/>
          <w:sz w:val="22"/>
        </w:rPr>
        <w:t xml:space="preserve"> “Loan growth picking up across all three businesses and exceeding expectations.” CNI growth “fairly broad based, with the pickup in loan demand reflecting a positive backdrop for corporate clients with new investment and increased working capital needs.” </w:t>
      </w:r>
      <w:r>
        <w:rPr>
          <w:rFonts w:ascii="Calibri" w:hAnsi="Calibri"/>
          <w:i/>
          <w:color w:val="525866"/>
          <w:sz w:val="22"/>
        </w:rPr>
        <w:t>Read-through for FITB:</w:t>
      </w:r>
      <w:r>
        <w:rPr>
          <w:rFonts w:ascii="Calibri" w:hAnsi="Calibri"/>
          <w:i/>
          <w:color w:val="525866"/>
          <w:sz w:val="22"/>
        </w:rPr>
        <w:t xml:space="preserve"> CFG’s broad-based CNI growth and positive corporate client backdrop supports FITB’s loan growth guidance.</w:t>
      </w:r>
    </w:p>
    <w:p>
      <w:pPr>
        <w:pStyle w:val="ListBullet"/>
        <w:ind w:left="360" w:hanging="360"/>
      </w:pPr>
      <w:r>
        <w:rPr>
          <w:rFonts w:ascii="Calibri" w:hAnsi="Calibri"/>
          <w:b/>
          <w:color w:val="525866"/>
          <w:sz w:val="22"/>
        </w:rPr>
        <w:t>Wells Fargo (WFC, Q2 2026):</w:t>
      </w:r>
      <w:r>
        <w:rPr>
          <w:rFonts w:ascii="Calibri" w:hAnsi="Calibri"/>
          <w:color w:val="525866"/>
          <w:sz w:val="22"/>
        </w:rPr>
        <w:t xml:space="preserve"> Average loans up 12% YoY, driven by C&amp;I and consumer portfolios. Commercial loan growth driven by new business rather than increased utilization of revolvers. </w:t>
      </w:r>
      <w:r>
        <w:rPr>
          <w:rFonts w:ascii="Calibri" w:hAnsi="Calibri"/>
          <w:i/>
          <w:color w:val="525866"/>
          <w:sz w:val="22"/>
        </w:rPr>
        <w:t>Read-through for FITB:</w:t>
      </w:r>
      <w:r>
        <w:rPr>
          <w:rFonts w:ascii="Calibri" w:hAnsi="Calibri"/>
          <w:i/>
          <w:color w:val="525866"/>
          <w:sz w:val="22"/>
        </w:rPr>
        <w:t xml:space="preserve"> WFC’s strong C&amp;I growth confirms the sector-wide commercial lending recovery.</w:t>
      </w:r>
    </w:p>
    <w:p>
      <w:pPr>
        <w:pStyle w:val="Heading3"/>
      </w:pPr>
      <w:r>
        <w:rPr>
          <w:rFonts w:ascii="Calibri" w:hAnsi="Calibri"/>
          <w:b/>
          <w:color w:val="3B4259"/>
          <w:sz w:val="24"/>
        </w:rPr>
        <w:t>Deposit Costs &amp; Non-Interest Bearing Deposits — Mixed Read-Through</w:t>
      </w:r>
    </w:p>
    <w:p>
      <w:pPr>
        <w:pStyle w:val="ListBullet"/>
        <w:ind w:left="360" w:hanging="360"/>
      </w:pPr>
      <w:r>
        <w:rPr>
          <w:rFonts w:ascii="Calibri" w:hAnsi="Calibri"/>
          <w:b/>
          <w:color w:val="525866"/>
          <w:sz w:val="22"/>
        </w:rPr>
        <w:t>PNC Financial (PNC, Q2 2026):</w:t>
      </w:r>
      <w:r>
        <w:rPr>
          <w:rFonts w:ascii="Calibri" w:hAnsi="Calibri"/>
          <w:color w:val="525866"/>
          <w:sz w:val="22"/>
        </w:rPr>
        <w:t xml:space="preserve"> Average non-interest bearing balances grew 4% QoQ, representing 23% of total deposits. Total rate paid on interest-bearing deposits decreased 5 bps to 1.91%. </w:t>
      </w:r>
      <w:r>
        <w:rPr>
          <w:rFonts w:ascii="Calibri" w:hAnsi="Calibri"/>
          <w:i/>
          <w:color w:val="525866"/>
          <w:sz w:val="22"/>
        </w:rPr>
        <w:t>Read-through for FITB:</w:t>
      </w:r>
      <w:r>
        <w:rPr>
          <w:rFonts w:ascii="Calibri" w:hAnsi="Calibri"/>
          <w:i/>
          <w:color w:val="525866"/>
          <w:sz w:val="22"/>
        </w:rPr>
        <w:t xml:space="preserve"> PNC’s NIB deposit growth and declining deposit costs are a positive read-through for FITB’s ability to maintain deposit costs in a no-cut environment.</w:t>
      </w:r>
    </w:p>
    <w:p>
      <w:pPr>
        <w:pStyle w:val="ListBullet"/>
        <w:ind w:left="360" w:hanging="360"/>
      </w:pPr>
      <w:r>
        <w:rPr>
          <w:rFonts w:ascii="Calibri" w:hAnsi="Calibri"/>
          <w:b/>
          <w:color w:val="525866"/>
          <w:sz w:val="22"/>
        </w:rPr>
        <w:t>Bank of America (BAC, Q2 2026):</w:t>
      </w:r>
      <w:r>
        <w:rPr>
          <w:rFonts w:ascii="Calibri" w:hAnsi="Calibri"/>
          <w:color w:val="525866"/>
          <w:sz w:val="22"/>
        </w:rPr>
        <w:t xml:space="preserve"> Average deposits up 2.5% YoY, including NIB growth of $19B (+4%). Rate paid on consumer deposits modestly lower at 48 bps. </w:t>
      </w:r>
      <w:r>
        <w:rPr>
          <w:rFonts w:ascii="Calibri" w:hAnsi="Calibri"/>
          <w:i/>
          <w:color w:val="525866"/>
          <w:sz w:val="22"/>
        </w:rPr>
        <w:t>Read-through for FITB:</w:t>
      </w:r>
      <w:r>
        <w:rPr>
          <w:rFonts w:ascii="Calibri" w:hAnsi="Calibri"/>
          <w:i/>
          <w:color w:val="525866"/>
          <w:sz w:val="22"/>
        </w:rPr>
        <w:t xml:space="preserve"> BAC’s NIB deposit growth and stable deposit costs support FITB’s confidence in maintaining deposit costs.</w:t>
      </w:r>
    </w:p>
    <w:p>
      <w:pPr>
        <w:pStyle w:val="ListBullet"/>
        <w:ind w:left="360" w:hanging="360"/>
      </w:pPr>
      <w:r>
        <w:rPr>
          <w:rFonts w:ascii="Calibri" w:hAnsi="Calibri"/>
          <w:b/>
          <w:color w:val="525866"/>
          <w:sz w:val="22"/>
        </w:rPr>
        <w:t>Wells Fargo (WFC, Q2 2026):</w:t>
      </w:r>
      <w:r>
        <w:rPr>
          <w:rFonts w:ascii="Calibri" w:hAnsi="Calibri"/>
          <w:color w:val="525866"/>
          <w:sz w:val="22"/>
        </w:rPr>
        <w:t xml:space="preserve"> Originally assumed some NIB deposit growth but now expects NIB to be “relatively stable.” </w:t>
      </w:r>
      <w:r>
        <w:rPr>
          <w:rFonts w:ascii="Calibri" w:hAnsi="Calibri"/>
          <w:i/>
          <w:color w:val="525866"/>
          <w:sz w:val="22"/>
        </w:rPr>
        <w:t>Read-through for FITB:</w:t>
      </w:r>
      <w:r>
        <w:rPr>
          <w:rFonts w:ascii="Calibri" w:hAnsi="Calibri"/>
          <w:i/>
          <w:color w:val="525866"/>
          <w:sz w:val="22"/>
        </w:rPr>
        <w:t xml:space="preserve"> WFC’s NIB headwind is a mild caution, though FITB’s Southwest deposit campaign is generating strong NIB-adjacent consumer deposit inflows.</w:t>
      </w:r>
    </w:p>
    <w:p>
      <w:pPr>
        <w:pStyle w:val="ListBullet"/>
        <w:ind w:left="360" w:hanging="360"/>
      </w:pPr>
      <w:r>
        <w:rPr>
          <w:rFonts w:ascii="Calibri" w:hAnsi="Calibri"/>
          <w:b/>
          <w:color w:val="525866"/>
          <w:sz w:val="22"/>
        </w:rPr>
        <w:t>M&amp;T Bank (MTB, Q2 2026):</w:t>
      </w:r>
      <w:r>
        <w:rPr>
          <w:rFonts w:ascii="Calibri" w:hAnsi="Calibri"/>
          <w:color w:val="525866"/>
          <w:sz w:val="22"/>
        </w:rPr>
        <w:t xml:space="preserve"> Interest-bearing deposit costs decreased 2 bps QoQ to 1.95%. Deposit trends improved later in the quarter. </w:t>
      </w:r>
      <w:r>
        <w:rPr>
          <w:rFonts w:ascii="Calibri" w:hAnsi="Calibri"/>
          <w:i/>
          <w:color w:val="525866"/>
          <w:sz w:val="22"/>
        </w:rPr>
        <w:t>Read-through for FITB:</w:t>
      </w:r>
      <w:r>
        <w:rPr>
          <w:rFonts w:ascii="Calibri" w:hAnsi="Calibri"/>
          <w:i/>
          <w:color w:val="525866"/>
          <w:sz w:val="22"/>
        </w:rPr>
        <w:t xml:space="preserve"> MTB’s deposit cost improvement is consistent with FITB’s ability to hold deposit costs stable.</w:t>
      </w:r>
    </w:p>
    <w:p>
      <w:pPr>
        <w:pStyle w:val="Heading3"/>
      </w:pPr>
      <w:r>
        <w:rPr>
          <w:rFonts w:ascii="Calibri" w:hAnsi="Calibri"/>
          <w:b/>
          <w:color w:val="3B4259"/>
          <w:sz w:val="24"/>
        </w:rPr>
        <w:t>Fee Income &amp; Capital Markets — Positive Read-Through</w:t>
      </w:r>
    </w:p>
    <w:p>
      <w:pPr>
        <w:pStyle w:val="ListBullet"/>
        <w:ind w:left="360" w:hanging="360"/>
      </w:pPr>
      <w:r>
        <w:rPr>
          <w:rFonts w:ascii="Calibri" w:hAnsi="Calibri"/>
          <w:b/>
          <w:color w:val="525866"/>
          <w:sz w:val="22"/>
        </w:rPr>
        <w:t>PNC Financial (PNC, Q2 2026):</w:t>
      </w:r>
      <w:r>
        <w:rPr>
          <w:rFonts w:ascii="Calibri" w:hAnsi="Calibri"/>
          <w:color w:val="525866"/>
          <w:sz w:val="22"/>
        </w:rPr>
        <w:t xml:space="preserve"> Capital markets and advisory revenue up 25% QoQ, with record M&amp;A advisory fees. </w:t>
      </w:r>
      <w:r>
        <w:rPr>
          <w:rFonts w:ascii="Calibri" w:hAnsi="Calibri"/>
          <w:i/>
          <w:color w:val="525866"/>
          <w:sz w:val="22"/>
        </w:rPr>
        <w:t>Read-through for FITB:</w:t>
      </w:r>
      <w:r>
        <w:rPr>
          <w:rFonts w:ascii="Calibri" w:hAnsi="Calibri"/>
          <w:i/>
          <w:color w:val="525866"/>
          <w:sz w:val="22"/>
        </w:rPr>
        <w:t xml:space="preserve"> Strong capital markets environment supports FITB’s commercial payments and capital markets fee income trajectory.</w:t>
      </w:r>
    </w:p>
    <w:p>
      <w:pPr>
        <w:pStyle w:val="ListBullet"/>
        <w:ind w:left="360" w:hanging="360"/>
      </w:pPr>
      <w:r>
        <w:rPr>
          <w:rFonts w:ascii="Calibri" w:hAnsi="Calibri"/>
          <w:b/>
          <w:color w:val="525866"/>
          <w:sz w:val="22"/>
        </w:rPr>
        <w:t>Bank of America (BAC, Q2 2026):</w:t>
      </w:r>
      <w:r>
        <w:rPr>
          <w:rFonts w:ascii="Calibri" w:hAnsi="Calibri"/>
          <w:color w:val="525866"/>
          <w:sz w:val="22"/>
        </w:rPr>
        <w:t xml:space="preserve"> Investment banking fees up 50% YoY to $2.1B. Sales and trading up 33%. </w:t>
      </w:r>
      <w:r>
        <w:rPr>
          <w:rFonts w:ascii="Calibri" w:hAnsi="Calibri"/>
          <w:i/>
          <w:color w:val="525866"/>
          <w:sz w:val="22"/>
        </w:rPr>
        <w:t>Read-through for FITB:</w:t>
      </w:r>
      <w:r>
        <w:rPr>
          <w:rFonts w:ascii="Calibri" w:hAnsi="Calibri"/>
          <w:i/>
          <w:color w:val="525866"/>
          <w:sz w:val="22"/>
        </w:rPr>
        <w:t xml:space="preserve"> Robust capital markets activity is a positive backdrop for FITB’s commercial banking revenue and fee income.</w:t>
      </w:r>
    </w:p>
    <w:p>
      <w:pPr>
        <w:pStyle w:val="ListBullet"/>
        <w:ind w:left="360" w:hanging="360"/>
      </w:pPr>
      <w:r>
        <w:rPr>
          <w:rFonts w:ascii="Calibri" w:hAnsi="Calibri"/>
          <w:b/>
          <w:color w:val="525866"/>
          <w:sz w:val="22"/>
        </w:rPr>
        <w:t>Citizens Financial (CFG, Q2 2026):</w:t>
      </w:r>
      <w:r>
        <w:rPr>
          <w:rFonts w:ascii="Calibri" w:hAnsi="Calibri"/>
          <w:color w:val="525866"/>
          <w:sz w:val="22"/>
        </w:rPr>
        <w:t xml:space="preserve"> Capital markets delivered “strongest second quarter ever,” with fees up 14% QoQ and 46% YoY. M&amp;A fees “up significantly year over year.” </w:t>
      </w:r>
      <w:r>
        <w:rPr>
          <w:rFonts w:ascii="Calibri" w:hAnsi="Calibri"/>
          <w:i/>
          <w:color w:val="525866"/>
          <w:sz w:val="22"/>
        </w:rPr>
        <w:t>Read-through for FITB:</w:t>
      </w:r>
      <w:r>
        <w:rPr>
          <w:rFonts w:ascii="Calibri" w:hAnsi="Calibri"/>
          <w:i/>
          <w:color w:val="525866"/>
          <w:sz w:val="22"/>
        </w:rPr>
        <w:t xml:space="preserve"> CFG’s record capital markets quarter supports FITB’s fee income guidance of $1.00–$1.06B for Q2.</w:t>
      </w:r>
    </w:p>
    <w:p>
      <w:pPr>
        <w:pStyle w:val="ListBullet"/>
        <w:ind w:left="360" w:hanging="360"/>
      </w:pPr>
      <w:r>
        <w:rPr>
          <w:rFonts w:ascii="Calibri" w:hAnsi="Calibri"/>
          <w:b/>
          <w:color w:val="525866"/>
          <w:sz w:val="22"/>
        </w:rPr>
        <w:t>U.S. Bancorp (USB, Q2 2026):</w:t>
      </w:r>
      <w:r>
        <w:rPr>
          <w:rFonts w:ascii="Calibri" w:hAnsi="Calibri"/>
          <w:color w:val="525866"/>
          <w:sz w:val="22"/>
        </w:rPr>
        <w:t xml:space="preserve"> Total fee revenue up 13.2% YoY. Capital markets revenue (ex-Btig) up ~31% YoY. </w:t>
      </w:r>
      <w:r>
        <w:rPr>
          <w:rFonts w:ascii="Calibri" w:hAnsi="Calibri"/>
          <w:i/>
          <w:color w:val="525866"/>
          <w:sz w:val="22"/>
        </w:rPr>
        <w:t>Read-through for FITB:</w:t>
      </w:r>
      <w:r>
        <w:rPr>
          <w:rFonts w:ascii="Calibri" w:hAnsi="Calibri"/>
          <w:i/>
          <w:color w:val="525866"/>
          <w:sz w:val="22"/>
        </w:rPr>
        <w:t xml:space="preserve"> Broad-based fee income strength across the sector is a positive read-through for FITB’s noninterest income guidance.</w:t>
      </w:r>
    </w:p>
    <w:p>
      <w:pPr>
        <w:pStyle w:val="Heading3"/>
      </w:pPr>
      <w:r>
        <w:rPr>
          <w:rFonts w:ascii="Calibri" w:hAnsi="Calibri"/>
          <w:b/>
          <w:color w:val="3B4259"/>
          <w:sz w:val="24"/>
        </w:rPr>
        <w:t>Macro Environment — Broadly Constructive</w:t>
      </w:r>
    </w:p>
    <w:p>
      <w:pPr>
        <w:pStyle w:val="ListBullet"/>
        <w:ind w:left="360" w:hanging="360"/>
      </w:pPr>
      <w:r>
        <w:rPr>
          <w:rFonts w:ascii="Calibri" w:hAnsi="Calibri"/>
          <w:b/>
          <w:color w:val="525866"/>
          <w:sz w:val="22"/>
        </w:rPr>
        <w:t>Wells Fargo (WFC, Q2 2026):</w:t>
      </w:r>
      <w:r>
        <w:rPr>
          <w:rFonts w:ascii="Calibri" w:hAnsi="Calibri"/>
          <w:color w:val="525866"/>
          <w:sz w:val="22"/>
        </w:rPr>
        <w:t xml:space="preserve"> “Consumers and businesses remain strong. Consumer spending is higher, charge-offs are lower, and savings and investments are growing across customer segments. Businesses are cautious, but balance sheets and cash flows remain strong.” </w:t>
      </w:r>
      <w:r>
        <w:rPr>
          <w:rFonts w:ascii="Calibri" w:hAnsi="Calibri"/>
          <w:i/>
          <w:color w:val="525866"/>
          <w:sz w:val="22"/>
        </w:rPr>
        <w:t>Read-through for FITB:</w:t>
      </w:r>
      <w:r>
        <w:rPr>
          <w:rFonts w:ascii="Calibri" w:hAnsi="Calibri"/>
          <w:i/>
          <w:color w:val="525866"/>
          <w:sz w:val="22"/>
        </w:rPr>
        <w:t xml:space="preserve"> Constructive macro backdrop supports FITB’s credit quality and loan growth outlook.</w:t>
      </w:r>
    </w:p>
    <w:p>
      <w:pPr>
        <w:pStyle w:val="ListBullet"/>
        <w:ind w:left="360" w:hanging="360"/>
      </w:pPr>
      <w:r>
        <w:rPr>
          <w:rFonts w:ascii="Calibri" w:hAnsi="Calibri"/>
          <w:b/>
          <w:color w:val="525866"/>
          <w:sz w:val="22"/>
        </w:rPr>
        <w:t>Bank of America (BAC, Q2 2026):</w:t>
      </w:r>
      <w:r>
        <w:rPr>
          <w:rFonts w:ascii="Calibri" w:hAnsi="Calibri"/>
          <w:color w:val="525866"/>
          <w:sz w:val="22"/>
        </w:rPr>
        <w:t xml:space="preserve"> Raised 2026 U.S. GDP growth forecast to 2.2%. Consumer spending running at 6%+ YoY in Q2. “U.S. economy has proved more durable than expected.” </w:t>
      </w:r>
      <w:r>
        <w:rPr>
          <w:rFonts w:ascii="Calibri" w:hAnsi="Calibri"/>
          <w:i/>
          <w:color w:val="525866"/>
          <w:sz w:val="22"/>
        </w:rPr>
        <w:t>Read-through for FITB:</w:t>
      </w:r>
      <w:r>
        <w:rPr>
          <w:rFonts w:ascii="Calibri" w:hAnsi="Calibri"/>
          <w:i/>
          <w:color w:val="525866"/>
          <w:sz w:val="22"/>
        </w:rPr>
        <w:t xml:space="preserve"> BAC’s upgraded macro outlook is a positive backdrop for FITB’s commercial and consumer banking businesses.</w:t>
      </w:r>
    </w:p>
    <w:p>
      <w:pPr>
        <w:pStyle w:val="ListBullet"/>
        <w:ind w:left="360" w:hanging="360"/>
      </w:pPr>
      <w:r>
        <w:rPr>
          <w:rFonts w:ascii="Calibri" w:hAnsi="Calibri"/>
          <w:b/>
          <w:color w:val="525866"/>
          <w:sz w:val="22"/>
        </w:rPr>
        <w:t>PNC Financial (PNC, Q2 2026):</w:t>
      </w:r>
      <w:r>
        <w:rPr>
          <w:rFonts w:ascii="Calibri" w:hAnsi="Calibri"/>
          <w:color w:val="525866"/>
          <w:sz w:val="22"/>
        </w:rPr>
        <w:t xml:space="preserve"> Base case assumes GDP growth of ~2.1% in 2026, unemployment ending the year at ~4.3%, and the Fed keeping rates stable throughout 2026. </w:t>
      </w:r>
      <w:r>
        <w:rPr>
          <w:rFonts w:ascii="Calibri" w:hAnsi="Calibri"/>
          <w:i/>
          <w:color w:val="525866"/>
          <w:sz w:val="22"/>
        </w:rPr>
        <w:t>Read-through for FITB:</w:t>
      </w:r>
      <w:r>
        <w:rPr>
          <w:rFonts w:ascii="Calibri" w:hAnsi="Calibri"/>
          <w:i/>
          <w:color w:val="525866"/>
          <w:sz w:val="22"/>
        </w:rPr>
        <w:t xml:space="preserve"> PNC’s stable rate assumption is consistent with FITB’s no-cut assumption embedded in its FY2026 NII guidance.</w:t>
      </w:r>
    </w:p>
    <w:p>
      <w:pPr>
        <w:pStyle w:val="ListBullet"/>
        <w:ind w:left="360" w:hanging="360"/>
      </w:pPr>
      <w:r>
        <w:rPr>
          <w:rFonts w:ascii="Calibri" w:hAnsi="Calibri"/>
          <w:b/>
          <w:color w:val="525866"/>
          <w:sz w:val="22"/>
        </w:rPr>
        <w:t>M&amp;T Bank (MTB, Q2 2026):</w:t>
      </w:r>
      <w:r>
        <w:rPr>
          <w:rFonts w:ascii="Calibri" w:hAnsi="Calibri"/>
          <w:color w:val="525866"/>
          <w:sz w:val="22"/>
        </w:rPr>
        <w:t xml:space="preserve"> “U.S. economy has held up well thus far through the energy shock.” Cautiously optimistic with continued growth outlook. </w:t>
      </w:r>
      <w:r>
        <w:rPr>
          <w:rFonts w:ascii="Calibri" w:hAnsi="Calibri"/>
          <w:i/>
          <w:color w:val="525866"/>
          <w:sz w:val="22"/>
        </w:rPr>
        <w:t>Read-through for FITB:</w:t>
      </w:r>
      <w:r>
        <w:rPr>
          <w:rFonts w:ascii="Calibri" w:hAnsi="Calibri"/>
          <w:i/>
          <w:color w:val="525866"/>
          <w:sz w:val="22"/>
        </w:rPr>
        <w:t xml:space="preserve"> MTB’s cautious optimism is consistent with FITB’s own macro framing — acknowledging geopolitical risks (Iran war) while maintaining a constructive base case.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from senior executives since Q1 earnings beyond the immediate post-earnings window. The only transactions were routine director stock awards and two EVP open-market sales (Sefzik 20,000 shares and Khanna 6,000 shares) at prices around $50–51 — </w:t>
      </w:r>
      <w:r>
        <w:rPr>
          <w:rFonts w:ascii="Calibri" w:hAnsi="Calibri"/>
          <w:b/>
          <w:color w:val="525866"/>
          <w:sz w:val="22"/>
        </w:rPr>
        <w:t>before the stock’s subsequent rally to $59+, suggesting these were not informed sells.</w:t>
      </w:r>
      <w:r>
        <w:rPr>
          <w:rFonts w:ascii="Calibri" w:hAnsi="Calibri"/>
          <w:color w:val="525866"/>
          <w:sz w:val="22"/>
        </w:rPr>
        <w:t xml:space="preserve"> No 10b5-1 plan initiations were disclosed.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Date (Effective)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Sefzik Peter L</w:t>
            </w:r>
          </w:p>
        </w:tc>
        <w:tc>
          <w:tcPr>
            <w:tcW w:type="dxa" w:w="1234"/>
          </w:tcPr>
          <w:p>
            <w:r>
              <w:rPr>
                <w:rFonts w:ascii="Calibri" w:hAnsi="Calibri"/>
                <w:sz w:val="22"/>
              </w:rPr>
              <w:t>EVP</w:t>
            </w:r>
          </w:p>
        </w:tc>
        <w:tc>
          <w:tcPr>
            <w:tcW w:type="dxa" w:w="1234"/>
          </w:tcPr>
          <w:p>
            <w:r>
              <w:rPr>
                <w:rFonts w:ascii="Calibri" w:hAnsi="Calibri"/>
                <w:b/>
                <w:color w:val="E5484D"/>
                <w:sz w:val="22"/>
              </w:rPr>
              <w:t>Open Market Sale</w:t>
            </w:r>
          </w:p>
        </w:tc>
        <w:tc>
          <w:tcPr>
            <w:tcW w:type="dxa" w:w="1234"/>
          </w:tcPr>
          <w:p>
            <w:r>
              <w:rPr>
                <w:rFonts w:ascii="Calibri" w:hAnsi="Calibri"/>
                <w:sz w:val="22"/>
              </w:rPr>
              <w:t>20,000</w:t>
            </w:r>
          </w:p>
        </w:tc>
        <w:tc>
          <w:tcPr>
            <w:tcW w:type="dxa" w:w="1234"/>
          </w:tcPr>
          <w:p>
            <w:r>
              <w:rPr>
                <w:rFonts w:ascii="Calibri" w:hAnsi="Calibri"/>
                <w:sz w:val="22"/>
              </w:rPr>
              <w:t>Apr 28, 2026</w:t>
            </w:r>
          </w:p>
        </w:tc>
        <w:tc>
          <w:tcPr>
            <w:tcW w:type="dxa" w:w="1234"/>
          </w:tcPr>
          <w:p>
            <w:r>
              <w:rPr>
                <w:rFonts w:ascii="Calibri" w:hAnsi="Calibri"/>
                <w:sz w:val="22"/>
              </w:rPr>
              <w:t>Apr 29, 2026</w:t>
            </w:r>
          </w:p>
        </w:tc>
        <w:tc>
          <w:tcPr>
            <w:tcW w:type="dxa" w:w="1234"/>
          </w:tcPr>
          <w:p>
            <w:r>
              <w:rPr>
                <w:rFonts w:ascii="Calibri" w:hAnsi="Calibri"/>
                <w:sz w:val="22"/>
              </w:rPr>
              <w:t>Discretionary sale; stock at ~$50; no 10b5-1 plan noted; retained 189,382 shares</w:t>
            </w:r>
          </w:p>
        </w:tc>
      </w:tr>
      <w:tr>
        <w:tc>
          <w:tcPr>
            <w:tcW w:type="dxa" w:w="1234"/>
          </w:tcPr>
          <w:p>
            <w:r>
              <w:rPr>
                <w:rFonts w:ascii="Calibri" w:hAnsi="Calibri"/>
                <w:sz w:val="22"/>
              </w:rPr>
              <w:t>Khanna Kevin J</w:t>
            </w:r>
          </w:p>
        </w:tc>
        <w:tc>
          <w:tcPr>
            <w:tcW w:type="dxa" w:w="1234"/>
          </w:tcPr>
          <w:p>
            <w:r>
              <w:rPr>
                <w:rFonts w:ascii="Calibri" w:hAnsi="Calibri"/>
                <w:sz w:val="22"/>
              </w:rPr>
              <w:t>EVP</w:t>
            </w:r>
          </w:p>
        </w:tc>
        <w:tc>
          <w:tcPr>
            <w:tcW w:type="dxa" w:w="1234"/>
          </w:tcPr>
          <w:p>
            <w:r>
              <w:rPr>
                <w:rFonts w:ascii="Calibri" w:hAnsi="Calibri"/>
                <w:b/>
                <w:color w:val="E5484D"/>
                <w:sz w:val="22"/>
              </w:rPr>
              <w:t>Open Market Sale</w:t>
            </w:r>
          </w:p>
        </w:tc>
        <w:tc>
          <w:tcPr>
            <w:tcW w:type="dxa" w:w="1234"/>
          </w:tcPr>
          <w:p>
            <w:r>
              <w:rPr>
                <w:rFonts w:ascii="Calibri" w:hAnsi="Calibri"/>
                <w:sz w:val="22"/>
              </w:rPr>
              <w:t>6,000</w:t>
            </w:r>
          </w:p>
        </w:tc>
        <w:tc>
          <w:tcPr>
            <w:tcW w:type="dxa" w:w="1234"/>
          </w:tcPr>
          <w:p>
            <w:r>
              <w:rPr>
                <w:rFonts w:ascii="Calibri" w:hAnsi="Calibri"/>
                <w:sz w:val="22"/>
              </w:rPr>
              <w:t>Apr 20, 2026</w:t>
            </w:r>
          </w:p>
        </w:tc>
        <w:tc>
          <w:tcPr>
            <w:tcW w:type="dxa" w:w="1234"/>
          </w:tcPr>
          <w:p>
            <w:r>
              <w:rPr>
                <w:rFonts w:ascii="Calibri" w:hAnsi="Calibri"/>
                <w:sz w:val="22"/>
              </w:rPr>
              <w:t>Apr 21, 2026</w:t>
            </w:r>
          </w:p>
        </w:tc>
        <w:tc>
          <w:tcPr>
            <w:tcW w:type="dxa" w:w="1234"/>
          </w:tcPr>
          <w:p>
            <w:r>
              <w:rPr>
                <w:rFonts w:ascii="Calibri" w:hAnsi="Calibri"/>
                <w:sz w:val="22"/>
              </w:rPr>
              <w:t>Discretionary sale; stock at ~$51; no 10b5-1 plan noted; retained 76,299 shares</w:t>
            </w:r>
          </w:p>
        </w:tc>
      </w:tr>
      <w:tr>
        <w:tc>
          <w:tcPr>
            <w:tcW w:type="dxa" w:w="1234"/>
          </w:tcPr>
          <w:p>
            <w:r>
              <w:rPr>
                <w:rFonts w:ascii="Calibri" w:hAnsi="Calibri"/>
                <w:sz w:val="22"/>
              </w:rPr>
              <w:t>Lopper Jeffrey A</w:t>
            </w:r>
          </w:p>
        </w:tc>
        <w:tc>
          <w:tcPr>
            <w:tcW w:type="dxa" w:w="1234"/>
          </w:tcPr>
          <w:p>
            <w:r>
              <w:rPr>
                <w:rFonts w:ascii="Calibri" w:hAnsi="Calibri"/>
                <w:sz w:val="22"/>
              </w:rPr>
              <w:t>Chief Accounting Officer</w:t>
            </w:r>
          </w:p>
        </w:tc>
        <w:tc>
          <w:tcPr>
            <w:tcW w:type="dxa" w:w="1234"/>
          </w:tcPr>
          <w:p>
            <w:r>
              <w:rPr>
                <w:rFonts w:ascii="Calibri" w:hAnsi="Calibri"/>
                <w:sz w:val="22"/>
              </w:rPr>
              <w:t>Tax Withholding (F)</w:t>
            </w:r>
          </w:p>
        </w:tc>
        <w:tc>
          <w:tcPr>
            <w:tcW w:type="dxa" w:w="1234"/>
          </w:tcPr>
          <w:p>
            <w:r>
              <w:rPr>
                <w:rFonts w:ascii="Calibri" w:hAnsi="Calibri"/>
                <w:sz w:val="22"/>
              </w:rPr>
              <w:t>2,046</w:t>
            </w:r>
          </w:p>
        </w:tc>
        <w:tc>
          <w:tcPr>
            <w:tcW w:type="dxa" w:w="1234"/>
          </w:tcPr>
          <w:p>
            <w:r>
              <w:rPr>
                <w:rFonts w:ascii="Calibri" w:hAnsi="Calibri"/>
                <w:sz w:val="22"/>
              </w:rPr>
              <w:t>Apr 17, 2026</w:t>
            </w:r>
          </w:p>
        </w:tc>
        <w:tc>
          <w:tcPr>
            <w:tcW w:type="dxa" w:w="1234"/>
          </w:tcPr>
          <w:p>
            <w:r>
              <w:rPr>
                <w:rFonts w:ascii="Calibri" w:hAnsi="Calibri"/>
                <w:sz w:val="22"/>
              </w:rPr>
              <w:t>Apr 21, 2026</w:t>
            </w:r>
          </w:p>
        </w:tc>
        <w:tc>
          <w:tcPr>
            <w:tcW w:type="dxa" w:w="1234"/>
          </w:tcPr>
          <w:p>
            <w:r>
              <w:rPr>
                <w:rFonts w:ascii="Calibri" w:hAnsi="Calibri"/>
                <w:sz w:val="22"/>
              </w:rPr>
              <w:t>Routine tax withholding on vesting; not a discretionary sale</w:t>
            </w:r>
          </w:p>
        </w:tc>
      </w:tr>
      <w:tr>
        <w:tc>
          <w:tcPr>
            <w:tcW w:type="dxa" w:w="1234"/>
          </w:tcPr>
          <w:p>
            <w:r>
              <w:rPr>
                <w:rFonts w:ascii="Calibri" w:hAnsi="Calibri"/>
                <w:sz w:val="22"/>
              </w:rPr>
              <w:t>Gibson Kala</w:t>
            </w:r>
          </w:p>
        </w:tc>
        <w:tc>
          <w:tcPr>
            <w:tcW w:type="dxa" w:w="1234"/>
          </w:tcPr>
          <w:p>
            <w:r>
              <w:rPr>
                <w:rFonts w:ascii="Calibri" w:hAnsi="Calibri"/>
                <w:sz w:val="22"/>
              </w:rPr>
              <w:t>EVP</w:t>
            </w:r>
          </w:p>
        </w:tc>
        <w:tc>
          <w:tcPr>
            <w:tcW w:type="dxa" w:w="1234"/>
          </w:tcPr>
          <w:p>
            <w:r>
              <w:rPr>
                <w:rFonts w:ascii="Calibri" w:hAnsi="Calibri"/>
                <w:sz w:val="22"/>
              </w:rPr>
              <w:t>Gift (G)</w:t>
            </w:r>
          </w:p>
        </w:tc>
        <w:tc>
          <w:tcPr>
            <w:tcW w:type="dxa" w:w="1234"/>
          </w:tcPr>
          <w:p>
            <w:r>
              <w:rPr>
                <w:rFonts w:ascii="Calibri" w:hAnsi="Calibri"/>
                <w:sz w:val="22"/>
              </w:rPr>
              <w:t>4,300</w:t>
            </w:r>
          </w:p>
        </w:tc>
        <w:tc>
          <w:tcPr>
            <w:tcW w:type="dxa" w:w="1234"/>
          </w:tcPr>
          <w:p>
            <w:r>
              <w:rPr>
                <w:rFonts w:ascii="Calibri" w:hAnsi="Calibri"/>
                <w:sz w:val="22"/>
              </w:rPr>
              <w:t>Apr 29, 2026</w:t>
            </w:r>
          </w:p>
        </w:tc>
        <w:tc>
          <w:tcPr>
            <w:tcW w:type="dxa" w:w="1234"/>
          </w:tcPr>
          <w:p>
            <w:r>
              <w:rPr>
                <w:rFonts w:ascii="Calibri" w:hAnsi="Calibri"/>
                <w:sz w:val="22"/>
              </w:rPr>
              <w:t>Apr 30, 2026</w:t>
            </w:r>
          </w:p>
        </w:tc>
        <w:tc>
          <w:tcPr>
            <w:tcW w:type="dxa" w:w="1234"/>
          </w:tcPr>
          <w:p>
            <w:r>
              <w:rPr>
                <w:rFonts w:ascii="Calibri" w:hAnsi="Calibri"/>
                <w:sz w:val="22"/>
              </w:rPr>
              <w:t>Gift of shares; not a market sale</w:t>
            </w:r>
          </w:p>
        </w:tc>
      </w:tr>
      <w:tr>
        <w:tc>
          <w:tcPr>
            <w:tcW w:type="dxa" w:w="1234"/>
          </w:tcPr>
          <w:p>
            <w:r>
              <w:rPr>
                <w:rFonts w:ascii="Calibri" w:hAnsi="Calibri"/>
                <w:sz w:val="22"/>
              </w:rPr>
              <w:t>Multiple Directors (12)</w:t>
            </w:r>
          </w:p>
        </w:tc>
        <w:tc>
          <w:tcPr>
            <w:tcW w:type="dxa" w:w="1234"/>
          </w:tcPr>
          <w:p>
            <w:r>
              <w:rPr>
                <w:rFonts w:ascii="Calibri" w:hAnsi="Calibri"/>
                <w:sz w:val="22"/>
              </w:rPr>
              <w:t>Directors</w:t>
            </w:r>
          </w:p>
        </w:tc>
        <w:tc>
          <w:tcPr>
            <w:tcW w:type="dxa" w:w="1234"/>
          </w:tcPr>
          <w:p>
            <w:r>
              <w:rPr>
                <w:rFonts w:ascii="Calibri" w:hAnsi="Calibri"/>
                <w:sz w:val="22"/>
              </w:rPr>
              <w:t>Stock Award (A)</w:t>
            </w:r>
          </w:p>
        </w:tc>
        <w:tc>
          <w:tcPr>
            <w:tcW w:type="dxa" w:w="1234"/>
          </w:tcPr>
          <w:p>
            <w:r>
              <w:rPr>
                <w:rFonts w:ascii="Calibri" w:hAnsi="Calibri"/>
                <w:sz w:val="22"/>
              </w:rPr>
              <w:t>2,838 each</w:t>
            </w:r>
          </w:p>
        </w:tc>
        <w:tc>
          <w:tcPr>
            <w:tcW w:type="dxa" w:w="1234"/>
          </w:tcPr>
          <w:p>
            <w:r>
              <w:rPr>
                <w:rFonts w:ascii="Calibri" w:hAnsi="Calibri"/>
                <w:sz w:val="22"/>
              </w:rPr>
              <w:t>Apr 21, 2026</w:t>
            </w:r>
          </w:p>
        </w:tc>
        <w:tc>
          <w:tcPr>
            <w:tcW w:type="dxa" w:w="1234"/>
          </w:tcPr>
          <w:p>
            <w:r>
              <w:rPr>
                <w:rFonts w:ascii="Calibri" w:hAnsi="Calibri"/>
                <w:sz w:val="22"/>
              </w:rPr>
              <w:t>Apr 23, 2026</w:t>
            </w:r>
          </w:p>
        </w:tc>
        <w:tc>
          <w:tcPr>
            <w:tcW w:type="dxa" w:w="1234"/>
          </w:tcPr>
          <w:p>
            <w:r>
              <w:rPr>
                <w:rFonts w:ascii="Calibri" w:hAnsi="Calibri"/>
                <w:sz w:val="22"/>
              </w:rPr>
              <w:t>Routine annual director stock compensation awards</w:t>
            </w:r>
          </w:p>
        </w:tc>
      </w:tr>
    </w:tbl>
    <w:p>
      <w:r>
        <w:rPr>
          <w:rFonts w:ascii="Calibri" w:hAnsi="Calibri"/>
          <w:b/>
          <w:color w:val="525866"/>
          <w:sz w:val="22"/>
        </w:rPr>
        <w:t xml:space="preserve">Commentary: </w:t>
      </w:r>
      <w:r>
        <w:rPr>
          <w:rFonts w:ascii="Calibri" w:hAnsi="Calibri"/>
          <w:color w:val="525866"/>
          <w:sz w:val="22"/>
        </w:rPr>
        <w:t>The two EVP open-market sales (Sefzik 20,000 shares and Khanna 6,000 shares) occurred in the days immediately following Q1 earnings at prices around $50–51, before the stock’s subsequent rally to $59+. These are discretionary sales but relatively modest in size relative to each executive’s remaining holdings (Sefzik retained 189,382 shares; Khanna retained 76,299 shares). No open-market buys were recorded. The absence of insider buying is not alarming given the stock’s strong post-earnings performance, but the lack of any buy signal means insiders are not adding conviction at current levels. All data sourced from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