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-earnings-predictions--2026-07-16"/>
    <w:p>
      <w:pPr>
        <w:pStyle w:val="Heading1"/>
      </w:pPr>
      <w:r>
        <w:t xml:space="preserve">GE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~$1.93 vs. cons $1.86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~$12.0B vs. cons $11.8B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operating profit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~22.2% vs. cons ~22%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7.10</m:t>
              </m:r>
              <m:r>
                <m:rPr>
                  <m:sty m:val="p"/>
                </m:rPr>
                <m:t>–</m:t>
              </m:r>
              <m:r>
                <m:t>7.40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7.40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profit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9.85</m:t>
              </m:r>
              <m:r>
                <m:rPr>
                  <m:sty m:val="p"/>
                </m:rPr>
                <m:t>–</m:t>
              </m:r>
              <m:r>
                <m:t>10.25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8.0</m:t>
              </m:r>
              <m:r>
                <m:rPr>
                  <m:sty m:val="p"/>
                </m:rPr>
                <m:t>–</m:t>
              </m:r>
              <m:r>
                <m:t>8.4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8.35B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CES services growth / departures macro assumption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~flat-to-low-single-digit departures vs. cons ~low-single-digit growth (2H26)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Q2 is pre-sold/de-risked so a headline beat (~$1.93 vs</w:t>
            </w:r>
            <w:r>
              <w:t xml:space="preserve"> </w:t>
            </w:r>
            <m:oMath>
              <m:r>
                <m:t>1.86</m:t>
              </m:r>
              <m:r>
                <m:rPr>
                  <m:sty m:val="p"/>
                </m:rPr>
                <m:t>)</m:t>
              </m:r>
              <m:r>
                <m:t>i</m:t>
              </m:r>
              <m:r>
                <m:t>s</m:t>
              </m:r>
              <m:r>
                <m:t>l</m:t>
              </m:r>
              <m:r>
                <m:t>a</m:t>
              </m:r>
              <m:r>
                <m:t>r</m:t>
              </m:r>
              <m:r>
                <m:t>g</m:t>
              </m:r>
              <m:r>
                <m:t>e</m:t>
              </m:r>
              <m:r>
                <m:t>l</m:t>
              </m:r>
              <m:r>
                <m:t>y</m:t>
              </m:r>
              <m:r>
                <m:t>d</m:t>
              </m:r>
              <m:r>
                <m:t>i</m:t>
              </m:r>
              <m:r>
                <m:t>s</m:t>
              </m:r>
              <m:r>
                <m:t>c</m:t>
              </m:r>
              <m:r>
                <m:t>o</m:t>
              </m:r>
              <m:r>
                <m:t>u</m:t>
              </m:r>
              <m:r>
                <m:t>n</m:t>
              </m:r>
              <m:r>
                <m:t>t</m:t>
              </m:r>
              <m:r>
                <m:t>e</m:t>
              </m:r>
              <m:r>
                <m:t>d</m:t>
              </m:r>
              <m:r>
                <m:t>a</m:t>
              </m:r>
              <m:r>
                <m:t>t</m:t>
              </m:r>
              <m:r>
                <m:t> </m:t>
              </m:r>
              <m:r>
                <m:t>48</m:t>
              </m:r>
              <m:r>
                <m:t>x</m:t>
              </m:r>
              <m:r>
                <m:t>2027</m:t>
              </m:r>
              <m:r>
                <m:t>E</m:t>
              </m:r>
              <m:r>
                <m:t>P</m:t>
              </m:r>
              <m:r>
                <m:t>S</m:t>
              </m:r>
              <m:r>
                <m:t>a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275→</w:t>
            </w:r>
            <m:oMath>
              <m:r>
                <m:t>378</m:t>
              </m:r>
              <m:r>
                <m:t>r</m:t>
              </m:r>
              <m:r>
                <m:t>u</m:t>
              </m:r>
              <m:r>
                <m:t>n</m:t>
              </m:r>
              <m:r>
                <m:rPr>
                  <m:sty m:val="p"/>
                </m:rPr>
                <m:t>.</m:t>
              </m:r>
              <m:r>
                <m:t>H</m:t>
              </m:r>
              <m:r>
                <m:t>o</m:t>
              </m:r>
              <m:r>
                <m:t>l</m:t>
              </m:r>
              <m:r>
                <m:t>d</m:t>
              </m:r>
              <m:r>
                <m:t>i</m:t>
              </m:r>
              <m:r>
                <m:t>n</m:t>
              </m:r>
              <m:r>
                <m:t>g</m:t>
              </m:r>
              <m:r>
                <m:t>F</m:t>
              </m:r>
              <m:r>
                <m:t>Y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w</m:t>
              </m:r>
              <m:r>
                <m:t>h</m:t>
              </m:r>
              <m:r>
                <m:t>i</m:t>
              </m:r>
              <m:r>
                <m:t>l</m:t>
              </m:r>
              <m:r>
                <m:t>e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i</m:t>
              </m:r>
              <m:r>
                <m:t>n</m:t>
              </m:r>
              <m:r>
                <m:t>g</m:t>
              </m:r>
              <m:r>
                <m:t>Q</m:t>
              </m:r>
              <m:r>
                <m:t>2</m:t>
              </m:r>
              <m:r>
                <m:t>b</m:t>
              </m:r>
              <m:r>
                <m:t>y</m:t>
              </m:r>
              <m:r>
                <m:t>a</m:t>
              </m:r>
              <m:r>
                <m:t>n</m:t>
              </m:r>
              <m:r>
                <m:t>o</m:t>
              </m:r>
              <m:r>
                <m:t>t</m:t>
              </m:r>
              <m:r>
                <m:t>h</m:t>
              </m:r>
              <m:r>
                <m:t>e</m:t>
              </m:r>
              <m:r>
                <m:t>r</m:t>
              </m:r>
              <m:r>
                <m:t> </m:t>
              </m:r>
            </m:oMath>
            <w:r>
              <w:t xml:space="preserve">300M implies an unspoken 2H cut, and management declines to raise (or trims the high-end lean) because the worsening U.S.–Iran/oil shock — Brent ~</w:t>
            </w:r>
            <m:oMath>
              <m:r>
                <m:t>85</m:t>
              </m:r>
              <m:r>
                <m:rPr>
                  <m:sty m:val="p"/>
                </m:rPr>
                <m:t>,</m:t>
              </m:r>
              <m:r>
                <m:t>G</m:t>
              </m:r>
              <m:r>
                <m:t>o</m:t>
              </m:r>
              <m:r>
                <m:t>l</m:t>
              </m:r>
              <m:r>
                <m:t>d</m:t>
              </m:r>
              <m:r>
                <m:t>m</m:t>
              </m:r>
              <m:r>
                <m:t>a</m:t>
              </m:r>
              <m:r>
                <m:t>n</m:t>
              </m:r>
              <m:r>
                <m:t>f</m:t>
              </m:r>
              <m:r>
                <m:t>l</m:t>
              </m:r>
              <m:r>
                <m:t>a</m:t>
              </m:r>
              <m:r>
                <m:t>g</m:t>
              </m:r>
              <m:r>
                <m:t>g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&gt;</m:t>
              </m:r>
            </m:oMath>
            <w:r>
              <w:t xml:space="preserve">110 in Q4 — directly contradicts the embedded 'oil declines by year-end, no recession, LSD departures' assumptions. Out-period math + macro caution pull estimates and departures/retirement risk lower even after the beat, so an initial 'sell-the-news' dip follows through as sell-side trims 2H/2027 numbers; only strong Farnborough/defense book-to-bill orders cushion it.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2026-07-16T01:13:13Z</dcterms:created>
  <dcterms:modified xsi:type="dcterms:W3CDTF">2026-07-16T01:13:13Z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