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GE Aerospace before writing the preview. Let me gather recent earnings, guidance, and news.Let me read the most recent earnings materials and get more context.I have rich Q1 detail. Let me get the Q1 earnings release financials, recent news, and stock performance.Let me check for any Farnborough Airshow news and the most recent days' developments.Let me quickly check the macro/industrials backdrop and the resolution status of the Middle East/fuel situation.I now have a comprehensive picture, including a critical macro development. Let me write the preview.</w:t>
      </w:r>
    </w:p>
    <w:bookmarkStart w:id="20" w:name="Xd6511849766481d4246bcb83363093d747c3d50"/>
    <w:p>
      <w:pPr>
        <w:pStyle w:val="Heading1"/>
      </w:pPr>
      <w:r>
        <w:t xml:space="preserve">GE Aerospace (NYSE: GE) — Q2 2026 Earnings Preview</w:t>
      </w:r>
    </w:p>
    <w:bookmarkStart w:id="9" w:name="X42bfc7f728e5a83f1d193d0f528df2e52f3cda0"/>
    <w:p>
      <w:pPr>
        <w:pStyle w:val="Heading3"/>
      </w:pPr>
      <w:r>
        <w:t xml:space="preserve">Reports Thursday, July 16, 2026, before the open | 2026Q2 Earnings Call</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Q2 itself should be a "known good" quarter — management effectively pre-sold it on the Q1 call — but the report is being overshadowed by a sharply deteriorating Middle East backdrop that directly undercuts the macro assumptions embedded in full-year guidance.</w:t>
      </w:r>
      <w:r>
        <w:t xml:space="preserve"> </w:t>
      </w:r>
      <w:r>
        <w:rPr>
          <w:b/>
          <w:bCs/>
        </w:rPr>
        <w:t xml:space="preserve">The print will matter less than the second-half commentary, the guidance disposition, and any read-through to 2027.</w:t>
      </w:r>
    </w:p>
    <w:p>
      <w:r>
        <w:pict>
          <v:rect style="width:0;height:1.5pt" o:hralign="center" o:hrstd="t" o:hr="t"/>
        </w:pict>
      </w:r>
    </w:p>
    <w:bookmarkEnd w:id="10"/>
    <w:bookmarkStart w:id="11" w:name="X650322a59242e2f593f4c9258a536adc6402956"/>
    <w:p>
      <w:pPr>
        <w:pStyle w:val="Heading2"/>
      </w:pPr>
      <w:r>
        <w:t xml:space="preserve">1. What the Street Expects</w:t>
      </w:r>
    </w:p>
    <w:p>
      <w:pPr>
        <w:pStyle w:val="Compact"/>
        <w:numPr>
          <w:ilvl w:val="0"/>
          <w:numId w:val="1001"/>
        </w:numPr>
      </w:pPr>
      <w:r>
        <w:t xml:space="preserve">Consensus is looking for</w:t>
      </w:r>
      <w:r>
        <w:t xml:space="preserve"> </w:t>
      </w:r>
      <w:r>
        <w:rPr>
          <w:b/>
          <w:bCs/>
        </w:rPr>
        <w:t xml:space="preserve">revenue ~</w:t>
      </w:r>
      <m:oMath>
        <m:r>
          <m:t>11.8</m:t>
        </m:r>
        <m:r>
          <m:t>B</m:t>
        </m:r>
        <m:r>
          <m:rPr>
            <m:sty m:val="p"/>
          </m:rPr>
          <m:t>(</m:t>
        </m:r>
        <m:r>
          <m:rPr>
            <m:sty m:val="p"/>
          </m:rPr>
          <m:t>+</m:t>
        </m:r>
        <m:r>
          <m:t>16</m:t>
        </m:r>
      </m:oMath>
      <w:r>
        <w:rPr>
          <w:b/>
          <w:bCs/>
        </w:rPr>
        <w:t xml:space="preserve">1.86</w:t>
      </w:r>
      <w:r>
        <w:t xml:space="preserve">, with sentiment described as "very bullish" heading in, driven by secular aftermarket tailwinds and management's execution track record.</w:t>
      </w:r>
    </w:p>
    <w:p>
      <w:pPr>
        <w:pStyle w:val="Compact"/>
        <w:numPr>
          <w:ilvl w:val="0"/>
          <w:numId w:val="1001"/>
        </w:numPr>
      </w:pPr>
      <w:r>
        <w:t xml:space="preserve">For context, GE posted</w:t>
      </w:r>
      <w:r>
        <w:t xml:space="preserve"> </w:t>
      </w:r>
      <w:r>
        <w:rPr>
          <w:b/>
          <w:bCs/>
        </w:rPr>
        <w:t xml:space="preserve">$1.86 in adjusted EPS in Q1</w:t>
      </w:r>
      <w:r>
        <w:t xml:space="preserve"> </w:t>
      </w:r>
      <w:r>
        <w:t xml:space="preserve">as well — so the Street is essentially modeling flattish sequential EPS, consistent with GE's own guide that Q2 profit grows both year-over-year and sequentially, powered by</w:t>
      </w:r>
      <w:r>
        <w:t xml:space="preserve"> </w:t>
      </w:r>
      <w:r>
        <w:rPr>
          <w:b/>
          <w:bCs/>
        </w:rPr>
        <w:t xml:space="preserve">high-teens services growth</w:t>
      </w:r>
      <w:r>
        <w:t xml:space="preserve"> </w:t>
      </w:r>
      <w:r>
        <w:t xml:space="preserve">(above the full-year pace).</w:t>
      </w:r>
    </w:p>
    <w:bookmarkEnd w:id="11"/>
    <w:bookmarkStart w:id="12" w:name="X9b04732dfa1b318189c07f7a502a43a820f8de6"/>
    <w:p>
      <w:pPr>
        <w:pStyle w:val="Heading2"/>
      </w:pPr>
      <w:r>
        <w:t xml:space="preserve">2. Why Q2 Is Largely De-Risked</w:t>
      </w:r>
    </w:p>
    <w:p>
      <w:pPr>
        <w:pStyle w:val="FirstParagraph"/>
      </w:pPr>
      <w:r>
        <w:t xml:space="preserve">On the April call, management gave unusually specific forward visibility that should make the quarter itself low-drama:</w:t>
      </w:r>
    </w:p>
    <w:p>
      <w:pPr>
        <w:pStyle w:val="Compact"/>
        <w:numPr>
          <w:ilvl w:val="0"/>
          <w:numId w:val="1002"/>
        </w:numPr>
      </w:pPr>
      <w:r>
        <w:rPr>
          <w:b/>
          <w:bCs/>
        </w:rPr>
        <w:t xml:space="preserve">~95% of Q2 spare-parts revenue was already in backlog</w:t>
      </w:r>
      <w:r>
        <w:t xml:space="preserve"> </w:t>
      </w:r>
      <w:r>
        <w:t xml:space="preserve">entering the quarter, and</w:t>
      </w:r>
      <w:r>
        <w:t xml:space="preserve"> </w:t>
      </w:r>
      <w:r>
        <w:rPr>
          <w:b/>
          <w:bCs/>
        </w:rPr>
        <w:t xml:space="preserve">all of the shop visits needed for Q2 were already off-wing</w:t>
      </w:r>
      <w:r>
        <w:t xml:space="preserve"> </w:t>
      </w:r>
      <w:r>
        <w:t xml:space="preserve">(in the shop or awaiting induction).</w:t>
      </w:r>
    </w:p>
    <w:p>
      <w:pPr>
        <w:pStyle w:val="Compact"/>
        <w:numPr>
          <w:ilvl w:val="0"/>
          <w:numId w:val="1002"/>
        </w:numPr>
      </w:pPr>
      <w:r>
        <w:t xml:space="preserve">For the full year,</w:t>
      </w:r>
      <w:r>
        <w:t xml:space="preserve"> </w:t>
      </w:r>
      <w:r>
        <w:rPr>
          <w:b/>
          <w:bCs/>
        </w:rPr>
        <w:t xml:space="preserve">~2/3 of 2026's projected shop visits were already off-wing</w:t>
      </w:r>
      <w:r>
        <w:t xml:space="preserve"> </w:t>
      </w:r>
      <w:r>
        <w:t xml:space="preserve">as of April, and the removal pipeline for Q2/Q3 was running</w:t>
      </w:r>
      <w:r>
        <w:t xml:space="preserve"> </w:t>
      </w:r>
      <w:r>
        <w:rPr>
          <w:b/>
          <w:bCs/>
        </w:rPr>
        <w:t xml:space="preserve">~1/3 oversubscribed</w:t>
      </w:r>
      <w:r>
        <w:t xml:space="preserve"> </w:t>
      </w:r>
      <w:r>
        <w:t xml:space="preserve">versus the shop-visit guide — meaning demand isn't the constraint; supply/throughput is.</w:t>
      </w:r>
    </w:p>
    <w:p>
      <w:pPr>
        <w:pStyle w:val="Compact"/>
        <w:numPr>
          <w:ilvl w:val="0"/>
          <w:numId w:val="1002"/>
        </w:numPr>
      </w:pPr>
      <w:r>
        <w:t xml:space="preserve">Q1 came in roughly</w:t>
      </w:r>
      <w:r>
        <w:t xml:space="preserve"> </w:t>
      </w:r>
      <w:r>
        <w:rPr>
          <w:b/>
          <w:bCs/>
        </w:rPr>
        <w:t xml:space="preserve">$300M ahead of plan</w:t>
      </w:r>
      <w:r>
        <w:t xml:space="preserve">, and management said that absent the geopolitical backdrop, "we would have raised guidance."</w:t>
      </w:r>
    </w:p>
    <w:p>
      <w:pPr>
        <w:pStyle w:val="FirstParagraph"/>
      </w:pPr>
      <w:r>
        <w:rPr>
          <w:b/>
          <w:bCs/>
        </w:rPr>
        <w:t xml:space="preserve">Bottom line:</w:t>
      </w:r>
      <w:r>
        <w:t xml:space="preserve"> </w:t>
      </w:r>
      <w:r>
        <w:t xml:space="preserve">a Q2 beat on the headline would not be surprising. The bar is really about the outlook.</w:t>
      </w:r>
    </w:p>
    <w:bookmarkEnd w:id="12"/>
    <w:bookmarkStart w:id="13" w:name="Xcb9a7dc4b85f6c6e647fa15cc62ea5718b07ffe"/>
    <w:p>
      <w:pPr>
        <w:pStyle w:val="Heading2"/>
      </w:pPr>
      <w:r>
        <w:t xml:space="preserve">3. The Big Swing Factor: The Middle East / Oil Shock Has Gotten</w:t>
      </w:r>
      <w:r>
        <w:t xml:space="preserve"> </w:t>
      </w:r>
      <w:r>
        <w:rPr>
          <w:i/>
          <w:iCs/>
        </w:rPr>
        <w:t xml:space="preserve">Worse</w:t>
      </w:r>
      <w:r>
        <w:t xml:space="preserve">, Not Better</w:t>
      </w:r>
    </w:p>
    <w:p>
      <w:pPr>
        <w:pStyle w:val="FirstParagraph"/>
      </w:pPr>
      <w:r>
        <w:t xml:space="preserve">This is the single most important change since GE last reported, and it runs against management's base case.</w:t>
      </w:r>
    </w:p>
    <w:p>
      <w:pPr>
        <w:pStyle w:val="Compact"/>
        <w:numPr>
          <w:ilvl w:val="0"/>
          <w:numId w:val="1003"/>
        </w:numPr>
      </w:pPr>
      <w:r>
        <w:t xml:space="preserve">GE's full-year guidance explicitly</w:t>
      </w:r>
      <w:r>
        <w:t xml:space="preserve"> </w:t>
      </w:r>
      <w:r>
        <w:rPr>
          <w:b/>
          <w:bCs/>
        </w:rPr>
        <w:t xml:space="preserve">assumes Brent stays elevated through Q3 then declines to current levels by year-end</w:t>
      </w:r>
      <w:r>
        <w:t xml:space="preserve">, with only a "near-term" hit to fuel availability, flat-to-low-single-digit departures growth, and</w:t>
      </w:r>
      <w:r>
        <w:t xml:space="preserve"> </w:t>
      </w:r>
      <w:r>
        <w:rPr>
          <w:b/>
          <w:bCs/>
        </w:rPr>
        <w:t xml:space="preserve">no global recession</w:t>
      </w:r>
      <w:r>
        <w:t xml:space="preserve">.</w:t>
      </w:r>
    </w:p>
    <w:p>
      <w:pPr>
        <w:pStyle w:val="Compact"/>
        <w:numPr>
          <w:ilvl w:val="0"/>
          <w:numId w:val="1003"/>
        </w:numPr>
      </w:pPr>
      <w:r>
        <w:t xml:space="preserve">Instead, the situation has re-escalated. As of mid-July, the U.S. has struck Iranian coastal/military sites and</w:t>
      </w:r>
      <w:r>
        <w:t xml:space="preserve"> </w:t>
      </w:r>
      <w:r>
        <w:rPr>
          <w:b/>
          <w:bCs/>
        </w:rPr>
        <w:t xml:space="preserve">reimposed a naval blockade of Iranian ports</w:t>
      </w:r>
      <w:r>
        <w:t xml:space="preserve">, oil has risen for four straight days with **Brent around</w:t>
      </w:r>
      <w:r>
        <w:t xml:space="preserve"> </w:t>
      </w:r>
      <m:oMath>
        <m:r>
          <m:t>85</m:t>
        </m:r>
        <m:r>
          <m:rPr>
            <m:sty m:val="p"/>
          </m:rPr>
          <m:t>*</m:t>
        </m:r>
        <m:r>
          <m:rPr>
            <m:sty m:val="p"/>
          </m:rPr>
          <m:t>*</m:t>
        </m:r>
        <m:r>
          <m:rPr>
            <m:sty m:val="p"/>
          </m:rPr>
          <m:t>,</m:t>
        </m:r>
        <m:r>
          <m:t>T</m:t>
        </m:r>
        <m:r>
          <m:t>r</m:t>
        </m:r>
        <m:r>
          <m:t>u</m:t>
        </m:r>
        <m:r>
          <m:t>m</m:t>
        </m:r>
        <m:r>
          <m:t>p</m:t>
        </m:r>
        <m:r>
          <m:t>h</m:t>
        </m:r>
        <m:r>
          <m:t>a</m:t>
        </m:r>
        <m:r>
          <m:t>s</m:t>
        </m:r>
        <m:r>
          <m:t>f</m:t>
        </m:r>
        <m:r>
          <m:t>l</m:t>
        </m:r>
        <m:r>
          <m:t>o</m:t>
        </m:r>
        <m:r>
          <m:t>a</m:t>
        </m:r>
        <m:r>
          <m:t>t</m:t>
        </m:r>
        <m:r>
          <m:t>e</m:t>
        </m:r>
        <m:r>
          <m:t>d</m:t>
        </m:r>
        <m:r>
          <m:t>a</m:t>
        </m:r>
        <m:r>
          <m:rPr>
            <m:sty m:val="p"/>
          </m:rPr>
          <m:t>*</m:t>
        </m:r>
        <m:r>
          <m:rPr>
            <m:sty m:val="p"/>
          </m:rPr>
          <m:t>*</m:t>
        </m:r>
        <m:r>
          <m:t>20</m:t>
        </m:r>
      </m:oMath>
      <w:r>
        <w:t xml:space="preserve">16/bbl), and Goldman has flagged a path to</w:t>
      </w:r>
      <w:r>
        <w:t xml:space="preserve"> </w:t>
      </w:r>
      <w:r>
        <w:rPr>
          <w:b/>
          <w:bCs/>
        </w:rPr>
        <w:t xml:space="preserve">Brent &gt;$110 in Q4</w:t>
      </w:r>
      <w:r>
        <w:t xml:space="preserve"> </w:t>
      </w:r>
      <w:r>
        <w:t xml:space="preserve">if Gulf exports stay disrupted.</w:t>
      </w:r>
    </w:p>
    <w:p>
      <w:pPr>
        <w:pStyle w:val="Compact"/>
        <w:numPr>
          <w:ilvl w:val="0"/>
          <w:numId w:val="1003"/>
        </w:numPr>
      </w:pPr>
      <w:r>
        <w:t xml:space="preserve">On the April call, GE explicitly benchmarked the downside to the GFC playbook: services demand</w:t>
      </w:r>
      <w:r>
        <w:t xml:space="preserve"> </w:t>
      </w:r>
      <w:r>
        <w:rPr>
          <w:b/>
          <w:bCs/>
        </w:rPr>
        <w:t xml:space="preserve">lags</w:t>
      </w:r>
      <w:r>
        <w:t xml:space="preserve"> </w:t>
      </w:r>
      <w:r>
        <w:t xml:space="preserve">an air-traffic downturn by several quarters, then snaps back — i.e., "a push-out of demand, not demand destruction." That framing is the bull case; the risk is that a prolonged, higher-for-longer oil shock pressures airline customers (especially low-cost carriers and Middle East operators, ~5% of departures) and eventually bleeds into work-scopes, spare engine shipments, and LTSA billings in 2H26 and 2027.</w:t>
      </w:r>
    </w:p>
    <w:p>
      <w:pPr>
        <w:pStyle w:val="FirstParagraph"/>
      </w:pPr>
      <w:r>
        <w:rPr>
          <w:b/>
          <w:bCs/>
        </w:rPr>
        <w:t xml:space="preserve">Watch closely:</w:t>
      </w:r>
      <w:r>
        <w:t xml:space="preserve"> </w:t>
      </w:r>
      <w:r>
        <w:t xml:space="preserve">Does management hold guidance again (likely, given 1H visibility), reaffirm the "trending toward the high end" language, or introduce more conservatism on the second half? Any commentary quantifying updated departures assumptions, Middle East exposure, and customer credit risk will move the stock more than the Q2 numbers.</w:t>
      </w:r>
    </w:p>
    <w:bookmarkEnd w:id="13"/>
    <w:bookmarkStart w:id="14" w:name="X68209d6ec2fd5a31951de8d4ed66abd371c2286"/>
    <w:p>
      <w:pPr>
        <w:pStyle w:val="Heading2"/>
      </w:pPr>
      <w:r>
        <w:t xml:space="preserve">4. Guidance Framework to Measure Against</w:t>
      </w:r>
    </w:p>
    <w:p>
      <w:pPr>
        <w:pStyle w:val="FirstParagraph"/>
      </w:pPr>
      <w:r>
        <w:t xml:space="preserve">Full-year 2026 guidance (maintained in April, "trending to the high end"):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FY2026 Guide</w:t>
            </w:r>
          </w:p>
        </w:tc>
        <w:tc>
          <w:tcPr/>
          <w:p>
            <w:pPr>
              <w:pStyle w:val="Compact"/>
            </w:pPr>
            <w:r>
              <w:t xml:space="preserve">FY2025 Actual</w:t>
            </w:r>
          </w:p>
        </w:tc>
      </w:tr>
      <w:tr>
        <w:tc>
          <w:tcPr/>
          <w:p>
            <w:pPr>
              <w:pStyle w:val="Compact"/>
            </w:pPr>
            <w:r>
              <w:t xml:space="preserve">Adjusted revenue growth</w:t>
            </w:r>
          </w:p>
        </w:tc>
        <w:tc>
          <w:tcPr/>
          <w:p>
            <w:pPr>
              <w:pStyle w:val="Compact"/>
            </w:pPr>
            <w:r>
              <w:t xml:space="preserve">Low double-digit</w:t>
            </w:r>
          </w:p>
        </w:tc>
        <w:tc>
          <w:tcPr/>
          <w:p>
            <w:pPr>
              <w:pStyle w:val="Compact"/>
            </w:pPr>
            <w:r>
              <w:t xml:space="preserve">$42.3B (+21%)</w:t>
            </w:r>
          </w:p>
        </w:tc>
      </w:tr>
      <w:tr>
        <w:tc>
          <w:tcPr/>
          <w:p>
            <w:pPr>
              <w:pStyle w:val="Compact"/>
            </w:pPr>
            <w:r>
              <w:t xml:space="preserve">Operating profit</w:t>
            </w:r>
          </w:p>
        </w:tc>
        <w:tc>
          <w:tcPr/>
          <w:p>
            <w:pPr>
              <w:pStyle w:val="Compact"/>
            </w:pPr>
            <w:r>
              <w:t xml:space="preserve">$9.85B – $10.25B</w:t>
            </w:r>
          </w:p>
        </w:tc>
        <w:tc>
          <w:tcPr/>
          <w:p>
            <w:pPr>
              <w:pStyle w:val="Compact"/>
            </w:pPr>
            <w:r>
              <w:t xml:space="preserve">$9.1B</w:t>
            </w:r>
          </w:p>
        </w:tc>
      </w:tr>
      <w:tr>
        <w:tc>
          <w:tcPr/>
          <w:p>
            <w:pPr>
              <w:pStyle w:val="Compact"/>
            </w:pPr>
            <w:r>
              <w:t xml:space="preserve">Adjusted EPS</w:t>
            </w:r>
          </w:p>
        </w:tc>
        <w:tc>
          <w:tcPr/>
          <w:p>
            <w:pPr>
              <w:pStyle w:val="Compact"/>
            </w:pPr>
            <w:r>
              <w:t xml:space="preserve">$7.10 – $7.40</w:t>
            </w:r>
          </w:p>
        </w:tc>
        <w:tc>
          <w:tcPr/>
          <w:p>
            <w:pPr>
              <w:pStyle w:val="Compact"/>
            </w:pPr>
            <w:r>
              <w:t xml:space="preserve">$6.37</w:t>
            </w:r>
          </w:p>
        </w:tc>
      </w:tr>
      <w:tr>
        <w:tc>
          <w:tcPr/>
          <w:p>
            <w:pPr>
              <w:pStyle w:val="Compact"/>
            </w:pPr>
            <w:r>
              <w:t xml:space="preserve">Free cash flow</w:t>
            </w:r>
          </w:p>
        </w:tc>
        <w:tc>
          <w:tcPr/>
          <w:p>
            <w:pPr>
              <w:pStyle w:val="Compact"/>
            </w:pPr>
            <w:r>
              <w:t xml:space="preserve">$8.0B – $8.4B</w:t>
            </w:r>
          </w:p>
        </w:tc>
        <w:tc>
          <w:tcPr/>
          <w:p>
            <w:pPr>
              <w:pStyle w:val="Compact"/>
            </w:pPr>
            <w:r>
              <w:t xml:space="preserve">$7.7B</w:t>
            </w:r>
          </w:p>
        </w:tc>
      </w:tr>
      <w:tr>
        <w:tc>
          <w:tcPr/>
          <w:p>
            <w:pPr>
              <w:pStyle w:val="Compact"/>
            </w:pPr>
            <w:r>
              <w:t xml:space="preserve">CES operating profit</w:t>
            </w:r>
          </w:p>
        </w:tc>
        <w:tc>
          <w:tcPr/>
          <w:p>
            <w:pPr>
              <w:pStyle w:val="Compact"/>
            </w:pPr>
            <w:r>
              <w:t xml:space="preserve">$9.6B – $9.9B</w:t>
            </w:r>
          </w:p>
        </w:tc>
        <w:tc>
          <w:tcPr/>
          <w:p>
            <w:pPr>
              <w:pStyle w:val="Compact"/>
            </w:pPr>
            <w:r>
              <w:t xml:space="preserve">—</w:t>
            </w:r>
          </w:p>
        </w:tc>
      </w:tr>
      <w:tr>
        <w:tc>
          <w:tcPr/>
          <w:p>
            <w:pPr>
              <w:pStyle w:val="Compact"/>
            </w:pPr>
            <w:r>
              <w:t xml:space="preserve">DPT operating profit</w:t>
            </w:r>
          </w:p>
        </w:tc>
        <w:tc>
          <w:tcPr/>
          <w:p>
            <w:pPr>
              <w:pStyle w:val="Compact"/>
            </w:pPr>
            <w:r>
              <w:t xml:space="preserve">$1.55B – $1.65B</w:t>
            </w:r>
          </w:p>
        </w:tc>
        <w:tc>
          <w:tcPr/>
          <w:p>
            <w:pPr>
              <w:pStyle w:val="Compact"/>
            </w:pPr>
            <w:r>
              <w:t xml:space="preserve">—</w:t>
            </w:r>
          </w:p>
        </w:tc>
      </w:tr>
    </w:tbl>
    <w:p>
      <w:pPr>
        <w:pStyle w:val="BodyText"/>
      </w:pPr>
      <w:r>
        <w:t xml:space="preserve">Segment-level guide:</w:t>
      </w:r>
      <w:r>
        <w:t xml:space="preserve"> </w:t>
      </w:r>
      <w:r>
        <w:rPr>
          <w:b/>
          <w:bCs/>
        </w:rPr>
        <w:t xml:space="preserve">CES</w:t>
      </w:r>
      <w:r>
        <w:t xml:space="preserve"> </w:t>
      </w:r>
      <w:r>
        <w:t xml:space="preserve">revenue +mid-teens (services mid-teens, equipment mid-to-high teens);</w:t>
      </w:r>
      <w:r>
        <w:t xml:space="preserve"> </w:t>
      </w:r>
      <w:r>
        <w:rPr>
          <w:b/>
          <w:bCs/>
        </w:rPr>
        <w:t xml:space="preserve">DPT</w:t>
      </w:r>
      <w:r>
        <w:t xml:space="preserve"> </w:t>
      </w:r>
      <w:r>
        <w:t xml:space="preserve">revenue +mid-to-high-single-digit. A full-year services revenue increase of **~</w:t>
      </w:r>
      <m:oMath>
        <m:r>
          <m:t>4</m:t>
        </m:r>
        <m:r>
          <m:t>B</m:t>
        </m:r>
        <m:r>
          <m:rPr>
            <m:sty m:val="p"/>
          </m:rPr>
          <m:t>*</m:t>
        </m:r>
        <m:r>
          <m:rPr>
            <m:sty m:val="p"/>
          </m:rPr>
          <m:t>*</m:t>
        </m:r>
        <m:r>
          <m:rPr>
            <m:sty m:val="p"/>
          </m:rPr>
          <m:t>(</m:t>
        </m:r>
        <m:r>
          <m:t>u</m:t>
        </m:r>
        <m:r>
          <m:t>p</m:t>
        </m:r>
        <m:r>
          <m:t>f</m:t>
        </m:r>
        <m:r>
          <m:t>r</m:t>
        </m:r>
        <m:r>
          <m:t>o</m:t>
        </m:r>
        <m:r>
          <m:t>m</m:t>
        </m:r>
        <m:r>
          <m:t> </m:t>
        </m:r>
      </m:oMath>
      <w:r>
        <w:t xml:space="preserve">3.5B) is the crux supporting the high-end lean.</w:t>
      </w:r>
    </w:p>
    <w:bookmarkEnd w:id="14"/>
    <w:bookmarkStart w:id="15" w:name="Xeeb65aad2e8918f46631809b99dc46e1b2363a4"/>
    <w:p>
      <w:pPr>
        <w:pStyle w:val="Heading2"/>
      </w:pPr>
      <w:r>
        <w:t xml:space="preserve">5. Segment &amp; Margin Watch Items</w:t>
      </w:r>
    </w:p>
    <w:p>
      <w:pPr>
        <w:pStyle w:val="FirstParagraph"/>
      </w:pPr>
      <w:r>
        <w:rPr>
          <w:b/>
          <w:bCs/>
        </w:rPr>
        <w:t xml:space="preserve">Commercial Engines &amp; Services (CES) — the value driver:</w:t>
      </w:r>
    </w:p>
    <w:p>
      <w:pPr>
        <w:pStyle w:val="Compact"/>
        <w:numPr>
          <w:ilvl w:val="0"/>
          <w:numId w:val="1004"/>
        </w:numPr>
      </w:pPr>
      <w:r>
        <w:t xml:space="preserve">Q1 margin fell</w:t>
      </w:r>
      <w:r>
        <w:t xml:space="preserve"> </w:t>
      </w:r>
      <w:r>
        <w:rPr>
          <w:b/>
          <w:bCs/>
        </w:rPr>
        <w:t xml:space="preserve">230 bps to 26.4%</w:t>
      </w:r>
      <w:r>
        <w:t xml:space="preserve">, and management guides</w:t>
      </w:r>
      <w:r>
        <w:t xml:space="preserve"> </w:t>
      </w:r>
      <w:r>
        <w:rPr>
          <w:b/>
          <w:bCs/>
        </w:rPr>
        <w:t xml:space="preserve">flat CES margins for the full year</w:t>
      </w:r>
      <w:r>
        <w:t xml:space="preserve"> </w:t>
      </w:r>
      <w:r>
        <w:t xml:space="preserve">— the drag is OE mix (LEAP deliveries +~15% for the year, GE9X shipments) offsetting rich services drop-through. Watch whether services margin strength (up y/y in Q1) can offset the OE ramp again.</w:t>
      </w:r>
    </w:p>
    <w:p>
      <w:pPr>
        <w:pStyle w:val="Compact"/>
        <w:numPr>
          <w:ilvl w:val="0"/>
          <w:numId w:val="1004"/>
        </w:numPr>
      </w:pPr>
      <w:r>
        <w:rPr>
          <w:b/>
          <w:bCs/>
        </w:rPr>
        <w:t xml:space="preserve">LEAP aftermarket</w:t>
      </w:r>
      <w:r>
        <w:t xml:space="preserve"> </w:t>
      </w:r>
      <w:r>
        <w:t xml:space="preserve">is the multi-year margin story: management expects LEAP service margins to approach overall CES service levels by ~2028, with the number of LEAP repairs developed doubling this year and third-party MRO now ~15% of LEAP shop visits.</w:t>
      </w:r>
    </w:p>
    <w:p>
      <w:pPr>
        <w:pStyle w:val="Compact"/>
        <w:numPr>
          <w:ilvl w:val="0"/>
          <w:numId w:val="1004"/>
        </w:numPr>
      </w:pPr>
      <w:r>
        <w:rPr>
          <w:b/>
          <w:bCs/>
        </w:rPr>
        <w:t xml:space="preserve">Spare-parts delinquency was up ~70% since end-2024</w:t>
      </w:r>
      <w:r>
        <w:t xml:space="preserve"> </w:t>
      </w:r>
      <w:r>
        <w:t xml:space="preserve">— demand still outstripping supply. This is a double-edged watch item: frustrating operationally, but it's also a backlog cushion if traffic softens.</w:t>
      </w:r>
    </w:p>
    <w:p>
      <w:pPr>
        <w:pStyle w:val="FirstParagraph"/>
      </w:pPr>
      <w:r>
        <w:rPr>
          <w:b/>
          <w:bCs/>
        </w:rPr>
        <w:t xml:space="preserve">Defense &amp; Propulsion Technologies (DPT):</w:t>
      </w:r>
    </w:p>
    <w:p>
      <w:pPr>
        <w:pStyle w:val="Compact"/>
        <w:numPr>
          <w:ilvl w:val="0"/>
          <w:numId w:val="1005"/>
        </w:numPr>
      </w:pPr>
      <w:r>
        <w:t xml:space="preserve">Strong momentum —</w:t>
      </w:r>
      <w:r>
        <w:t xml:space="preserve"> </w:t>
      </w:r>
      <w:r>
        <w:rPr>
          <w:b/>
          <w:bCs/>
        </w:rPr>
        <w:t xml:space="preserve">defense book-to-bill above 2x for a second straight quarter</w:t>
      </w:r>
      <w:r>
        <w:t xml:space="preserve">, record decade orders, guided to the higher end. Q1 margin was light (11.8%) on equipment-heavy mix; watch for the mix/productivity improvement management promised through the year. The current environment (Trump pressing defense primes to ramp production, allied rearmament) is a tailwind.</w:t>
      </w:r>
    </w:p>
    <w:bookmarkEnd w:id="15"/>
    <w:bookmarkStart w:id="16" w:name="X57b469091486eb5a2d95b97386c5dd0b29372c9"/>
    <w:p>
      <w:pPr>
        <w:pStyle w:val="Heading2"/>
      </w:pPr>
      <w:r>
        <w:t xml:space="preserve">6. Other Items on the Card</w:t>
      </w:r>
    </w:p>
    <w:p>
      <w:pPr>
        <w:pStyle w:val="Compact"/>
        <w:numPr>
          <w:ilvl w:val="0"/>
          <w:numId w:val="1006"/>
        </w:numPr>
      </w:pPr>
      <w:r>
        <w:rPr>
          <w:b/>
          <w:bCs/>
        </w:rPr>
        <w:t xml:space="preserve">GE9X / 777X:</w:t>
      </w:r>
      <w:r>
        <w:t xml:space="preserve"> </w:t>
      </w:r>
      <w:r>
        <w:t xml:space="preserve">Boeing flagged a mid-seal durability crack in January. As of April, GE said</w:t>
      </w:r>
      <w:r>
        <w:t xml:space="preserve"> </w:t>
      </w:r>
      <w:r>
        <w:rPr>
          <w:b/>
          <w:bCs/>
        </w:rPr>
        <w:t xml:space="preserve">no change to schedule or program losses</w:t>
      </w:r>
      <w:r>
        <w:t xml:space="preserve">, root cause identified, deliveries second-half weighted, and 9X losses expected to peak by 2028. Any update matters for the wide-body narrative.</w:t>
      </w:r>
    </w:p>
    <w:p>
      <w:pPr>
        <w:pStyle w:val="Compact"/>
        <w:numPr>
          <w:ilvl w:val="0"/>
          <w:numId w:val="1006"/>
        </w:numPr>
      </w:pPr>
      <w:r>
        <w:rPr>
          <w:b/>
          <w:bCs/>
        </w:rPr>
        <w:t xml:space="preserve">Farnborough Airshow (July):</w:t>
      </w:r>
      <w:r>
        <w:t xml:space="preserve"> </w:t>
      </w:r>
      <w:r>
        <w:t xml:space="preserve">GE flagged it as a potential order catalyst; watch for large commercial/defense wins (Q1 already featured American, United, Delta GEnx/LEAP awards and a ~2,000-engine Ryanair services deal).</w:t>
      </w:r>
    </w:p>
    <w:p>
      <w:pPr>
        <w:pStyle w:val="Compact"/>
        <w:numPr>
          <w:ilvl w:val="0"/>
          <w:numId w:val="1006"/>
        </w:numPr>
      </w:pPr>
      <w:r>
        <w:rPr>
          <w:b/>
          <w:bCs/>
        </w:rPr>
        <w:t xml:space="preserve">CFM56 longevity / retirements:</w:t>
      </w:r>
      <w:r>
        <w:t xml:space="preserve"> </w:t>
      </w:r>
      <w:r>
        <w:t xml:space="preserve">The bull thesis rests on a young fleet — ~2/3 of CFM56s haven't had a 2nd shop visit, ~70% of GE90s haven't. Q1 retirements ran</w:t>
      </w:r>
      <w:r>
        <w:t xml:space="preserve"> </w:t>
      </w:r>
      <w:r>
        <w:rPr>
          <w:b/>
          <w:bCs/>
        </w:rPr>
        <w:t xml:space="preserve">sub-1%</w:t>
      </w:r>
      <w:r>
        <w:t xml:space="preserve"> </w:t>
      </w:r>
      <w:r>
        <w:t xml:space="preserve">vs. a</w:t>
      </w:r>
      <w:r>
        <w:t xml:space="preserve"> </w:t>
      </w:r>
      <w:r>
        <w:rPr>
          <w:b/>
          <w:bCs/>
        </w:rPr>
        <w:t xml:space="preserve">2% assumption</w:t>
      </w:r>
      <w:r>
        <w:t xml:space="preserve">; 2027 already assumes a step-up to 3–4%. Any acceleration in retirements/parkings under an oil-shock scenario is the key bear signal.</w:t>
      </w:r>
    </w:p>
    <w:p>
      <w:pPr>
        <w:pStyle w:val="Compact"/>
        <w:numPr>
          <w:ilvl w:val="0"/>
          <w:numId w:val="1006"/>
        </w:numPr>
      </w:pPr>
      <w:r>
        <w:rPr>
          <w:b/>
          <w:bCs/>
        </w:rPr>
        <w:t xml:space="preserve">Capital return / buybacks</w:t>
      </w:r>
      <w:r>
        <w:t xml:space="preserve"> </w:t>
      </w:r>
      <w:r>
        <w:t xml:space="preserve">and a lower tax rate (14.7% in Q1) have been EPS tailwinds; watch for any capital-allocation update.</w:t>
      </w:r>
    </w:p>
    <w:bookmarkEnd w:id="16"/>
    <w:bookmarkStart w:id="17" w:name="X4b75b4c707d8b320c7ce5616528addc97552023"/>
    <w:p>
      <w:pPr>
        <w:pStyle w:val="Heading2"/>
      </w:pPr>
      <w:r>
        <w:t xml:space="preserve">7. Stock Setup &amp; Valuation</w:t>
      </w:r>
    </w:p>
    <w:p>
      <w:pPr>
        <w:pStyle w:val="Compact"/>
        <w:numPr>
          <w:ilvl w:val="0"/>
          <w:numId w:val="1007"/>
        </w:numPr>
      </w:pPr>
      <w:r>
        <w:t xml:space="preserve">Shares have round-tripped and then some: after</w:t>
      </w:r>
      <w:r>
        <w:t xml:space="preserve"> </w:t>
      </w:r>
      <w:r>
        <w:rPr>
          <w:b/>
          <w:bCs/>
        </w:rPr>
        <w:t xml:space="preserve">bottoming near</w:t>
      </w:r>
      <w:r>
        <w:rPr>
          <w:b/>
          <w:bCs/>
        </w:rPr>
        <w:t xml:space="preserve"> </w:t>
      </w:r>
      <m:oMath>
        <m:r>
          <m:t>273</m:t>
        </m:r>
        <m:r>
          <m:t>i</m:t>
        </m:r>
        <m:r>
          <m:t>n</m:t>
        </m:r>
        <m:r>
          <m:t>l</m:t>
        </m:r>
        <m:r>
          <m:t>a</m:t>
        </m:r>
        <m:r>
          <m:t>t</m:t>
        </m:r>
        <m:r>
          <m:t>e</m:t>
        </m:r>
        <m:r>
          <m:t>M</m:t>
        </m:r>
        <m:r>
          <m:t>a</m:t>
        </m:r>
        <m:r>
          <m:t>r</m:t>
        </m:r>
        <m:r>
          <m:t>c</m:t>
        </m:r>
        <m:r>
          <m:t>h</m:t>
        </m:r>
        <m:r>
          <m:rPr>
            <m:sty m:val="p"/>
          </m:rPr>
          <m:t>*</m:t>
        </m:r>
        <m:r>
          <m:rPr>
            <m:sty m:val="p"/>
          </m:rPr>
          <m:t>*</m:t>
        </m:r>
        <m:r>
          <m:t>o</m:t>
        </m:r>
        <m:r>
          <m:t>n</m:t>
        </m:r>
        <m:r>
          <m:t>o</m:t>
        </m:r>
        <m:r>
          <m:t>i</m:t>
        </m:r>
        <m:r>
          <m:t>l</m:t>
        </m:r>
        <m:r>
          <m:rPr>
            <m:sty m:val="p"/>
          </m:rPr>
          <m:t>−</m:t>
        </m:r>
        <m:r>
          <m:t>d</m:t>
        </m:r>
        <m:r>
          <m:t>r</m:t>
        </m:r>
        <m:r>
          <m:t>i</m:t>
        </m:r>
        <m:r>
          <m:t>v</m:t>
        </m:r>
        <m:r>
          <m:t>e</m:t>
        </m:r>
        <m:r>
          <m:t>n</m:t>
        </m:r>
        <m:r>
          <m:t>d</m:t>
        </m:r>
        <m:r>
          <m:t>e</m:t>
        </m:r>
        <m:r>
          <m:t>m</m:t>
        </m:r>
        <m:r>
          <m:t>a</m:t>
        </m:r>
        <m:r>
          <m:t>n</m:t>
        </m:r>
        <m:r>
          <m:t>d</m:t>
        </m:r>
        <m:r>
          <m:t>f</m:t>
        </m:r>
        <m:r>
          <m:t>e</m:t>
        </m:r>
        <m:r>
          <m:t>a</m:t>
        </m:r>
        <m:r>
          <m:t>r</m:t>
        </m:r>
        <m:r>
          <m:t>s</m:t>
        </m:r>
        <m:r>
          <m:rPr>
            <m:sty m:val="p"/>
          </m:rPr>
          <m:t>,</m:t>
        </m:r>
        <m:r>
          <m:t>t</m:t>
        </m:r>
        <m:r>
          <m:t>h</m:t>
        </m:r>
        <m:r>
          <m:t>e</m:t>
        </m:r>
        <m:r>
          <m:t>s</m:t>
        </m:r>
        <m:r>
          <m:t>t</m:t>
        </m:r>
        <m:r>
          <m:t>o</m:t>
        </m:r>
        <m:r>
          <m:t>c</m:t>
        </m:r>
        <m:r>
          <m:t>k</m:t>
        </m:r>
        <m:r>
          <m:t>r</m:t>
        </m:r>
        <m:r>
          <m:t>a</m:t>
        </m:r>
        <m:r>
          <m:t>n</m:t>
        </m:r>
        <m:r>
          <m:t>t</m:t>
        </m:r>
        <m:r>
          <m:t>o</m:t>
        </m:r>
        <m:r>
          <m:t>a</m:t>
        </m:r>
        <m:r>
          <m:rPr>
            <m:sty m:val="p"/>
          </m:rPr>
          <m:t>*</m:t>
        </m:r>
        <m:r>
          <m:rPr>
            <m:sty m:val="p"/>
          </m:rPr>
          <m:t>*</m:t>
        </m:r>
        <m:r>
          <m:t> </m:t>
        </m:r>
      </m:oMath>
      <w:r>
        <w:rPr>
          <w:b/>
          <w:bCs/>
        </w:rPr>
        <w:t xml:space="preserve">378 early-July high</w:t>
      </w:r>
      <w:r>
        <w:t xml:space="preserve">, then pulled back to **~</w:t>
      </w:r>
      <m:oMath>
        <m:r>
          <m:t>360</m:t>
        </m:r>
        <m:r>
          <m:rPr>
            <m:sty m:val="p"/>
          </m:rPr>
          <m:t>*</m:t>
        </m:r>
        <m:r>
          <m:rPr>
            <m:sty m:val="p"/>
          </m:rPr>
          <m:t>*</m:t>
        </m:r>
        <m:r>
          <m:t>h</m:t>
        </m:r>
        <m:r>
          <m:t>e</m:t>
        </m:r>
        <m:r>
          <m:t>a</m:t>
        </m:r>
        <m:r>
          <m:t>d</m:t>
        </m:r>
        <m:r>
          <m:t>i</m:t>
        </m:r>
        <m:r>
          <m:t>n</m:t>
        </m:r>
        <m:r>
          <m:t>g</m:t>
        </m:r>
        <m:r>
          <m:t>i</m:t>
        </m:r>
        <m:r>
          <m:t>n</m:t>
        </m:r>
        <m:r>
          <m:t>t</m:t>
        </m:r>
        <m:r>
          <m:t>o</m:t>
        </m:r>
        <m:r>
          <m:t>t</m:t>
        </m:r>
        <m:r>
          <m:t>h</m:t>
        </m:r>
        <m:r>
          <m:t>e</m:t>
        </m:r>
        <m:r>
          <m:t>p</m:t>
        </m:r>
        <m:r>
          <m:t>r</m:t>
        </m:r>
        <m:r>
          <m:t>i</m:t>
        </m:r>
        <m:r>
          <m:t>n</m:t>
        </m:r>
        <m:r>
          <m:t>t</m:t>
        </m:r>
        <m:r>
          <m:rPr>
            <m:sty m:val="p"/>
          </m:rPr>
          <m:t>(</m:t>
        </m:r>
        <m:r>
          <m:t>J</m:t>
        </m:r>
        <m:r>
          <m:t>u</m:t>
        </m:r>
        <m:r>
          <m:t>l</m:t>
        </m:r>
        <m:r>
          <m:t>y</m:t>
        </m:r>
        <m:r>
          <m:t>15</m:t>
        </m:r>
        <m:r>
          <m:t>c</m:t>
        </m:r>
        <m:r>
          <m:t>l</m:t>
        </m:r>
        <m:r>
          <m:t>o</m:t>
        </m:r>
        <m:r>
          <m:t>s</m:t>
        </m:r>
        <m:r>
          <m:t>e</m:t>
        </m:r>
        <m:r>
          <m:t> </m:t>
        </m:r>
      </m:oMath>
      <w:r>
        <w:t xml:space="preserve">360).</w:t>
      </w:r>
    </w:p>
    <w:p>
      <w:pPr>
        <w:pStyle w:val="Compact"/>
        <w:numPr>
          <w:ilvl w:val="0"/>
          <w:numId w:val="1007"/>
        </w:numPr>
      </w:pPr>
      <w:r>
        <w:t xml:space="preserve">Sell-side remains overwhelmingly positive —</w:t>
      </w:r>
      <w:r>
        <w:t xml:space="preserve"> </w:t>
      </w:r>
      <w:r>
        <w:rPr>
          <w:b/>
          <w:bCs/>
        </w:rPr>
        <w:t xml:space="preserve">~85% Buy ratings</w:t>
      </w:r>
      <w:r>
        <w:t xml:space="preserve">, average target ~$352, with</w:t>
      </w:r>
      <w:r>
        <w:t xml:space="preserve"> </w:t>
      </w:r>
      <w:r>
        <w:rPr>
          <w:b/>
          <w:bCs/>
        </w:rPr>
        <w:t xml:space="preserve">Citi's John Godyn at a Street-high $431</w:t>
      </w:r>
      <w:r>
        <w:t xml:space="preserve"> </w:t>
      </w:r>
      <w:r>
        <w:t xml:space="preserve">(~48x 2027 EPS, ~20% expected annual EPS growth).</w:t>
      </w:r>
    </w:p>
    <w:p>
      <w:pPr>
        <w:pStyle w:val="Compact"/>
        <w:numPr>
          <w:ilvl w:val="0"/>
          <w:numId w:val="1007"/>
        </w:numPr>
      </w:pPr>
      <w:r>
        <w:rPr>
          <w:b/>
          <w:bCs/>
        </w:rPr>
        <w:t xml:space="preserve">Implication:</w:t>
      </w:r>
      <w:r>
        <w:t xml:space="preserve"> </w:t>
      </w:r>
      <w:r>
        <w:t xml:space="preserve">the stock is priced for continued execution and a benign cycle. With shares having recently made new highs and valuation demanding, the risk/reward into the print is asymmetric — a clean Q2 beat may be largely discounted, while any second-half caution tied to the oil/Middle East backdrop could trigger an outsized reaction given the ~</w:t>
      </w:r>
      <m:oMath>
        <m:r>
          <m:t>275</m:t>
        </m:r>
        <m:r>
          <m:rPr>
            <m:sty m:val="p"/>
          </m:rPr>
          <m:t>→</m:t>
        </m:r>
      </m:oMath>
      <w:r>
        <w:t xml:space="preserve">378 run.</w:t>
      </w:r>
    </w:p>
    <w:p>
      <w:r>
        <w:pict>
          <v:rect style="width:0;height:1.5pt" o:hralign="center" o:hrstd="t" o:hr="t"/>
        </w:pict>
      </w:r>
    </w:p>
    <w:bookmarkEnd w:id="17"/>
    <w:bookmarkStart w:id="18" w:name="what-would-make-this-a-good-print"/>
    <w:p>
      <w:pPr>
        <w:pStyle w:val="Heading2"/>
      </w:pPr>
      <w:r>
        <w:t xml:space="preserve">What Would Make This a "Good" Print</w:t>
      </w:r>
    </w:p>
    <w:p>
      <w:pPr>
        <w:pStyle w:val="Compact"/>
        <w:numPr>
          <w:ilvl w:val="0"/>
          <w:numId w:val="1008"/>
        </w:numPr>
      </w:pPr>
      <w:r>
        <w:t xml:space="preserve">Q2 beat with</w:t>
      </w:r>
      <w:r>
        <w:t xml:space="preserve"> </w:t>
      </w:r>
      <w:r>
        <w:rPr>
          <w:b/>
          <w:bCs/>
        </w:rPr>
        <w:t xml:space="preserve">high-teens+ services growth</w:t>
      </w:r>
      <w:r>
        <w:t xml:space="preserve"> </w:t>
      </w:r>
      <w:r>
        <w:t xml:space="preserve">confirmed and margins holding ~22%.</w:t>
      </w:r>
    </w:p>
    <w:p>
      <w:pPr>
        <w:pStyle w:val="Compact"/>
        <w:numPr>
          <w:ilvl w:val="0"/>
          <w:numId w:val="1008"/>
        </w:numPr>
      </w:pPr>
      <w:r>
        <w:t xml:space="preserve">Guidance</w:t>
      </w:r>
      <w:r>
        <w:t xml:space="preserve"> </w:t>
      </w:r>
      <w:r>
        <w:rPr>
          <w:b/>
          <w:bCs/>
        </w:rPr>
        <w:t xml:space="preserve">maintained (or the high-end lean reaffirmed)</w:t>
      </w:r>
      <w:r>
        <w:t xml:space="preserve"> </w:t>
      </w:r>
      <w:r>
        <w:t xml:space="preserve">despite the worse macro — signaling backlog/visibility is insulating 2026.</w:t>
      </w:r>
    </w:p>
    <w:p>
      <w:pPr>
        <w:pStyle w:val="Compact"/>
        <w:numPr>
          <w:ilvl w:val="0"/>
          <w:numId w:val="1008"/>
        </w:numPr>
      </w:pPr>
      <w:r>
        <w:t xml:space="preserve">Constructive, quantified framing on</w:t>
      </w:r>
      <w:r>
        <w:t xml:space="preserve"> </w:t>
      </w:r>
      <w:r>
        <w:rPr>
          <w:b/>
          <w:bCs/>
        </w:rPr>
        <w:t xml:space="preserve">2H26 and 2027</w:t>
      </w:r>
      <w:r>
        <w:t xml:space="preserve"> </w:t>
      </w:r>
      <w:r>
        <w:t xml:space="preserve">— retirements still low, orders still holding, "push-out not destruction."</w:t>
      </w:r>
    </w:p>
    <w:p>
      <w:pPr>
        <w:pStyle w:val="Compact"/>
        <w:numPr>
          <w:ilvl w:val="0"/>
          <w:numId w:val="1008"/>
        </w:numPr>
      </w:pPr>
      <w:r>
        <w:t xml:space="preserve">GE9X/777X on track; strong Farnborough order flow.</w:t>
      </w:r>
    </w:p>
    <w:bookmarkEnd w:id="18"/>
    <w:bookmarkStart w:id="19" w:name="what-would-make-it-a-bad-print"/>
    <w:p>
      <w:pPr>
        <w:pStyle w:val="Heading2"/>
      </w:pPr>
      <w:r>
        <w:t xml:space="preserve">What Would Make It a "Bad" Print</w:t>
      </w:r>
    </w:p>
    <w:p>
      <w:pPr>
        <w:pStyle w:val="Compact"/>
        <w:numPr>
          <w:ilvl w:val="0"/>
          <w:numId w:val="1009"/>
        </w:numPr>
      </w:pPr>
      <w:r>
        <w:t xml:space="preserve">Guidance trimmed or the high-end lean removed on oil/fuel/departures.</w:t>
      </w:r>
    </w:p>
    <w:p>
      <w:pPr>
        <w:pStyle w:val="Compact"/>
        <w:numPr>
          <w:ilvl w:val="0"/>
          <w:numId w:val="1009"/>
        </w:numPr>
      </w:pPr>
      <w:r>
        <w:t xml:space="preserve">Evidence of</w:t>
      </w:r>
      <w:r>
        <w:t xml:space="preserve"> </w:t>
      </w:r>
      <w:r>
        <w:rPr>
          <w:b/>
          <w:bCs/>
        </w:rPr>
        <w:t xml:space="preserve">actual demand softening</w:t>
      </w:r>
      <w:r>
        <w:t xml:space="preserve"> </w:t>
      </w:r>
      <w:r>
        <w:t xml:space="preserve">— spare-parts order deceleration, lighter work-scopes, delayed spare-engine shipments, or airline credit stress.</w:t>
      </w:r>
    </w:p>
    <w:p>
      <w:pPr>
        <w:pStyle w:val="Compact"/>
        <w:numPr>
          <w:ilvl w:val="0"/>
          <w:numId w:val="1009"/>
        </w:numPr>
      </w:pPr>
      <w:r>
        <w:t xml:space="preserve">Any negative surprise on</w:t>
      </w:r>
      <w:r>
        <w:t xml:space="preserve"> </w:t>
      </w:r>
      <w:r>
        <w:rPr>
          <w:b/>
          <w:bCs/>
        </w:rPr>
        <w:t xml:space="preserve">GE9X losses/schedule</w:t>
      </w:r>
      <w:r>
        <w:t xml:space="preserve"> </w:t>
      </w:r>
      <w:r>
        <w:t xml:space="preserve">or CES margin.</w:t>
      </w:r>
    </w:p>
    <w:p>
      <w:pPr>
        <w:pStyle w:val="Compact"/>
        <w:numPr>
          <w:ilvl w:val="0"/>
          <w:numId w:val="1009"/>
        </w:numPr>
      </w:pPr>
      <w:r>
        <w:t xml:space="preserve">Rising CFM56/GE90 retirement or parking signals that threaten the aftermarket runway into 2027.</w:t>
      </w:r>
    </w:p>
    <w:p>
      <w:pPr>
        <w:pStyle w:val="FirstParagraph"/>
      </w:pPr>
      <w:r>
        <w:rPr>
          <w:i/>
          <w:iCs/>
        </w:rPr>
        <w:t xml:space="preserve">Preview based on GE Aerospace's Q1 2026 earnings release and call (April 21, 2026), the FY2026 guidance framework, consensus expectations as of July 10, sell-side commentary, and the mid-July escalation in the U.S.–Iran conflict and oil markets. All financials are company-reported non-GAAP unless noted.</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2026-07-16T01:13:13Z</dcterms:created>
  <dcterms:modified xsi:type="dcterms:W3CDTF">2026-07-16T01:13:13Z</dcterms:modified>
</cp:coreProperties>
</file>

<file path=docProps/custom.xml><?xml version="1.0" encoding="utf-8"?>
<Properties xmlns="http://schemas.openxmlformats.org/officeDocument/2006/custom-properties" xmlns:vt="http://schemas.openxmlformats.org/officeDocument/2006/docPropsVTypes"/>
</file>