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ge-aerospace-2026q2-earnings-preview"/>
    <w:p>
      <w:pPr>
        <w:pStyle w:val="Heading1"/>
      </w:pPr>
      <w:r>
        <w:t xml:space="preserve">GE Aerospace 2026Q2 Earnings Preview</w:t>
      </w:r>
    </w:p>
    <w:p>
      <w:pPr>
        <w:pStyle w:val="BlockText"/>
      </w:pPr>
      <w:r>
        <w:rPr>
          <w:b/>
          <w:bCs/>
        </w:rPr>
        <w:t xml:space="preserve">Timing note:</w:t>
      </w:r>
      <w:r>
        <w:t xml:space="preserve"> </w:t>
      </w:r>
      <w:r>
        <w:t xml:space="preserve">Today is</w:t>
      </w:r>
      <w:r>
        <w:t xml:space="preserve"> </w:t>
      </w:r>
      <w:r>
        <w:rPr>
          <w:b/>
          <w:bCs/>
        </w:rPr>
        <w:t xml:space="preserve">Thursday, July 16, 2026</w:t>
      </w:r>
      <w:r>
        <w:t xml:space="preserve">, so GE Aerospace is scheduled to report</w:t>
      </w:r>
      <w:r>
        <w:t xml:space="preserve"> </w:t>
      </w:r>
      <w:r>
        <w:rPr>
          <w:b/>
          <w:bCs/>
        </w:rPr>
        <w:t xml:space="preserve">today before the U.S. market opens</w:t>
      </w:r>
      <w:r>
        <w:t xml:space="preserve">, not tomorrow.</w:t>
      </w:r>
    </w:p>
    <w:bookmarkStart w:id="9" w:name="investment-view-going-into-the-print"/>
    <w:p>
      <w:pPr>
        <w:pStyle w:val="Heading2"/>
      </w:pPr>
      <w:r>
        <w:t xml:space="preserve">Investment view going into the print</w:t>
      </w:r>
    </w:p>
    <w:p>
      <w:pPr>
        <w:pStyle w:val="FirstParagraph"/>
      </w:pPr>
      <w:r>
        <w:t xml:space="preserve">GE enters earnings with powerful commercial-aftermarket demand, improving engine output, and a rapidly growing defense backlog. The issue is not whether the business is performing well—it almost certainly is—but whether results and guidance can clear an unusually high bar.</w:t>
      </w:r>
    </w:p>
    <w:p>
      <w:pPr>
        <w:pStyle w:val="BodyText"/>
      </w:pPr>
      <w:r>
        <w:t xml:space="preserve">At its July 15 close of</w:t>
      </w:r>
      <w:r>
        <w:t xml:space="preserve"> </w:t>
      </w:r>
      <w:r>
        <w:rPr>
          <w:b/>
          <w:bCs/>
        </w:rPr>
        <w:t xml:space="preserve">$360.39</w:t>
      </w:r>
      <w:r>
        <w:t xml:space="preserve">, GE has gained approximately</w:t>
      </w:r>
      <w:r>
        <w:t xml:space="preserve"> </w:t>
      </w:r>
      <w:r>
        <w:rPr>
          <w:b/>
          <w:bCs/>
        </w:rPr>
        <w:t xml:space="preserve">26% since its first-quarter report</w:t>
      </w:r>
      <w:r>
        <w:t xml:space="preserve"> </w:t>
      </w:r>
      <w:r>
        <w:t xml:space="preserve">and trades around</w:t>
      </w:r>
      <w:r>
        <w:t xml:space="preserve"> </w:t>
      </w:r>
      <w:r>
        <w:rPr>
          <w:b/>
          <w:bCs/>
        </w:rPr>
        <w:t xml:space="preserve">50× the midpoint of current 2026 adjusted EPS guidance</w:t>
      </w:r>
      <w:r>
        <w:t xml:space="preserve">. Investors therefore will probably demand more than a routine beat: the strongest reaction would require a guidance increase supported by durable services growth, better supply-chain execution, and credible margin conversion.</w:t>
      </w:r>
    </w:p>
    <w:bookmarkEnd w:id="9"/>
    <w:bookmarkStart w:id="10" w:name="what-the-market-expects"/>
    <w:p>
      <w:pPr>
        <w:pStyle w:val="Heading2"/>
      </w:pPr>
      <w:r>
        <w:t xml:space="preserve">What the market expects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jc w:val="right"/>
            </w:pPr>
            <w:r>
              <w:t xml:space="preserve">2026Q2 consensus</w:t>
            </w:r>
          </w:p>
        </w:tc>
        <w:tc>
          <w:tcPr/>
          <w:p>
            <w:pPr>
              <w:pStyle w:val="Compact"/>
              <w:jc w:val="right"/>
            </w:pPr>
            <w:r>
              <w:t xml:space="preserve">Year-over-year</w:t>
            </w:r>
          </w:p>
        </w:tc>
      </w:tr>
      <w:tr>
        <w:tc>
          <w:tcPr/>
          <w:p>
            <w:pPr>
              <w:pStyle w:val="Compact"/>
            </w:pPr>
            <w:r>
              <w:t xml:space="preserve">Adjusted revenue</w:t>
            </w:r>
          </w:p>
        </w:tc>
        <w:tc>
          <w:tcPr/>
          <w:p>
            <w:pPr>
              <w:pStyle w:val="Compact"/>
              <w:jc w:val="right"/>
            </w:pPr>
            <w:r>
              <w:rPr>
                <w:b/>
                <w:bCs/>
              </w:rPr>
              <w:t xml:space="preserve">~$11.8B</w:t>
            </w:r>
          </w:p>
        </w:tc>
        <w:tc>
          <w:tcPr/>
          <w:p>
            <w:pPr>
              <w:pStyle w:val="Compact"/>
              <w:jc w:val="right"/>
            </w:pPr>
            <w:r>
              <w:rPr>
                <w:b/>
                <w:bCs/>
              </w:rPr>
              <w:t xml:space="preserve">+16%</w:t>
            </w:r>
          </w:p>
        </w:tc>
      </w:tr>
      <w:tr>
        <w:tc>
          <w:tcPr/>
          <w:p>
            <w:pPr>
              <w:pStyle w:val="Compact"/>
            </w:pPr>
            <w:r>
              <w:t xml:space="preserve">Adjusted EPS</w:t>
            </w:r>
          </w:p>
        </w:tc>
        <w:tc>
          <w:tcPr/>
          <w:p>
            <w:pPr>
              <w:pStyle w:val="Compact"/>
              <w:jc w:val="right"/>
            </w:pPr>
            <w:r>
              <w:rPr>
                <w:b/>
                <w:bCs/>
              </w:rPr>
              <w:t xml:space="preserve">~$1.86</w:t>
            </w:r>
          </w:p>
        </w:tc>
        <w:tc>
          <w:tcPr/>
          <w:p>
            <w:pPr>
              <w:pStyle w:val="Compact"/>
              <w:jc w:val="right"/>
            </w:pPr>
            <w:r>
              <w:rPr>
                <w:b/>
                <w:bCs/>
              </w:rPr>
              <w:t xml:space="preserve">+12%</w:t>
            </w:r>
          </w:p>
        </w:tc>
      </w:tr>
      <w:tr>
        <w:tc>
          <w:tcPr/>
          <w:p>
            <w:pPr>
              <w:pStyle w:val="Compact"/>
            </w:pPr>
            <w:r>
              <w:t xml:space="preserve">Operating margin</w:t>
            </w:r>
          </w:p>
        </w:tc>
        <w:tc>
          <w:tcPr/>
          <w:p>
            <w:pPr>
              <w:pStyle w:val="Compact"/>
              <w:jc w:val="right"/>
            </w:pPr>
            <w:r>
              <w:rPr>
                <w:b/>
                <w:bCs/>
              </w:rPr>
              <w:t xml:space="preserve">~22%</w:t>
            </w:r>
          </w:p>
        </w:tc>
        <w:tc>
          <w:tcPr/>
          <w:p>
            <w:pPr>
              <w:pStyle w:val="Compact"/>
              <w:jc w:val="right"/>
            </w:pPr>
            <w:r>
              <w:t xml:space="preserve">Down roughly 100 bps</w:t>
            </w:r>
          </w:p>
        </w:tc>
      </w:tr>
      <w:tr>
        <w:tc>
          <w:tcPr/>
          <w:p>
            <w:pPr>
              <w:pStyle w:val="Compact"/>
            </w:pPr>
            <w:r>
              <w:t xml:space="preserve">Implied operating profit</w:t>
            </w:r>
          </w:p>
        </w:tc>
        <w:tc>
          <w:tcPr/>
          <w:p>
            <w:pPr>
              <w:pStyle w:val="Compact"/>
              <w:jc w:val="right"/>
            </w:pPr>
            <w:r>
              <w:rPr>
                <w:b/>
                <w:bCs/>
              </w:rPr>
              <w:t xml:space="preserve">~$2.6B</w:t>
            </w:r>
          </w:p>
        </w:tc>
        <w:tc>
          <w:tcPr/>
          <w:p>
            <w:pPr>
              <w:pStyle w:val="Compact"/>
              <w:jc w:val="right"/>
            </w:pPr>
            <w:r>
              <w:rPr>
                <w:b/>
                <w:bCs/>
              </w:rPr>
              <w:t xml:space="preserve">+11%</w:t>
            </w:r>
          </w:p>
        </w:tc>
      </w:tr>
    </w:tbl>
    <w:p>
      <w:pPr>
        <w:pStyle w:val="BodyText"/>
      </w:pPr>
      <w:r>
        <w:t xml:space="preserve">The revenue comparison is against adjusted revenue of $10.15 billion in 2025Q2; adjusted EPS was $1.66.</w:t>
      </w:r>
    </w:p>
    <w:bookmarkEnd w:id="10"/>
    <w:bookmarkStart w:id="12" w:name="X64275117c32f44ca12f7f86605bb6941a545ff2"/>
    <w:p>
      <w:pPr>
        <w:pStyle w:val="Heading2"/>
      </w:pPr>
      <w:r>
        <w:t xml:space="preserve">The central question: How strong is commercial services?</w:t>
      </w:r>
    </w:p>
    <w:p>
      <w:pPr>
        <w:pStyle w:val="FirstParagraph"/>
      </w:pPr>
      <w:r>
        <w:t xml:space="preserve">Commercial Engines &amp; Services, or CES, remains the core of the GE thesis. In the first quarter:</w:t>
      </w:r>
    </w:p>
    <w:p>
      <w:pPr>
        <w:pStyle w:val="Compact"/>
        <w:numPr>
          <w:ilvl w:val="0"/>
          <w:numId w:val="1001"/>
        </w:numPr>
      </w:pPr>
      <w:r>
        <w:t xml:space="preserve">CES revenue increased</w:t>
      </w:r>
      <w:r>
        <w:t xml:space="preserve"> </w:t>
      </w:r>
      <w:r>
        <w:rPr>
          <w:b/>
          <w:bCs/>
        </w:rPr>
        <w:t xml:space="preserve">34%</w:t>
      </w:r>
      <w:r>
        <w:t xml:space="preserve">.</w:t>
      </w:r>
    </w:p>
    <w:p>
      <w:pPr>
        <w:pStyle w:val="Compact"/>
        <w:numPr>
          <w:ilvl w:val="0"/>
          <w:numId w:val="1001"/>
        </w:numPr>
      </w:pPr>
      <w:r>
        <w:t xml:space="preserve">Services revenue increased</w:t>
      </w:r>
      <w:r>
        <w:t xml:space="preserve"> </w:t>
      </w:r>
      <w:r>
        <w:rPr>
          <w:b/>
          <w:bCs/>
        </w:rPr>
        <w:t xml:space="preserve">39%</w:t>
      </w:r>
      <w:r>
        <w:t xml:space="preserve">.</w:t>
      </w:r>
    </w:p>
    <w:p>
      <w:pPr>
        <w:pStyle w:val="Compact"/>
        <w:numPr>
          <w:ilvl w:val="0"/>
          <w:numId w:val="1001"/>
        </w:numPr>
      </w:pPr>
      <w:r>
        <w:t xml:space="preserve">Internal shop-visit revenue rose</w:t>
      </w:r>
      <w:r>
        <w:t xml:space="preserve"> </w:t>
      </w:r>
      <w:r>
        <w:rPr>
          <w:b/>
          <w:bCs/>
        </w:rPr>
        <w:t xml:space="preserve">35%</w:t>
      </w:r>
      <w:r>
        <w:t xml:space="preserve">.</w:t>
      </w:r>
    </w:p>
    <w:p>
      <w:pPr>
        <w:pStyle w:val="Compact"/>
        <w:numPr>
          <w:ilvl w:val="0"/>
          <w:numId w:val="1001"/>
        </w:numPr>
      </w:pPr>
      <w:r>
        <w:t xml:space="preserve">Spare-parts revenue grew more than</w:t>
      </w:r>
      <w:r>
        <w:t xml:space="preserve"> </w:t>
      </w:r>
      <w:r>
        <w:rPr>
          <w:b/>
          <w:bCs/>
        </w:rPr>
        <w:t xml:space="preserve">25%</w:t>
      </w:r>
      <w:r>
        <w:t xml:space="preserve">.</w:t>
      </w:r>
    </w:p>
    <w:p>
      <w:pPr>
        <w:pStyle w:val="Compact"/>
        <w:numPr>
          <w:ilvl w:val="0"/>
          <w:numId w:val="1001"/>
        </w:numPr>
      </w:pPr>
      <w:r>
        <w:t xml:space="preserve">Commercial-services backlog exceeded</w:t>
      </w:r>
      <w:r>
        <w:t xml:space="preserve"> </w:t>
      </w:r>
      <w:r>
        <w:rPr>
          <w:b/>
          <w:bCs/>
        </w:rPr>
        <w:t xml:space="preserve">$170 billion</w:t>
      </w:r>
      <w:r>
        <w:t xml:space="preserve">.</w:t>
      </w:r>
    </w:p>
    <w:p>
      <w:pPr>
        <w:pStyle w:val="Compact"/>
        <w:numPr>
          <w:ilvl w:val="0"/>
          <w:numId w:val="1001"/>
        </w:numPr>
      </w:pPr>
      <w:r>
        <w:t xml:space="preserve">More than 95% of expected second-quarter spare-parts revenue was already in backlog.</w:t>
      </w:r>
    </w:p>
    <w:p>
      <w:pPr>
        <w:pStyle w:val="FirstParagraph"/>
      </w:pPr>
      <w:r>
        <w:t xml:space="preserve">Management guided to</w:t>
      </w:r>
      <w:r>
        <w:t xml:space="preserve"> </w:t>
      </w:r>
      <w:r>
        <w:rPr>
          <w:b/>
          <w:bCs/>
        </w:rPr>
        <w:t xml:space="preserve">high-teens second-quarter services growth</w:t>
      </w:r>
      <w:r>
        <w:t xml:space="preserve">, above its mid-teens full-year assumption. Importantly, CEO Larry Culp said in early June that spare-parts orders had accelerated to approximately</w:t>
      </w:r>
      <w:r>
        <w:t xml:space="preserve"> </w:t>
      </w:r>
      <w:r>
        <w:rPr>
          <w:b/>
          <w:bCs/>
        </w:rPr>
        <w:t xml:space="preserve">40% year-over-year</w:t>
      </w:r>
      <w:r>
        <w:t xml:space="preserve">, engine removals were increasing faster than GE could complete shop visits, and retirement rates had declined.</w:t>
      </w:r>
    </w:p>
    <w:p>
      <w:pPr>
        <w:pStyle w:val="BodyText"/>
      </w:pPr>
      <w:r>
        <w:t xml:space="preserve">That creates a favorable demand setup. The constraint remains GE's ability to convert that demand into shipments and completed shop visits.</w:t>
      </w:r>
    </w:p>
    <w:bookmarkStart w:id="11" w:name="what-to-watch"/>
    <w:p>
      <w:pPr>
        <w:pStyle w:val="Heading3"/>
      </w:pPr>
      <w:r>
        <w:t xml:space="preserve">What to watch</w:t>
      </w:r>
    </w:p>
    <w:p>
      <w:pPr>
        <w:pStyle w:val="Compact"/>
        <w:numPr>
          <w:ilvl w:val="0"/>
          <w:numId w:val="1002"/>
        </w:numPr>
      </w:pPr>
      <w:r>
        <w:rPr>
          <w:b/>
          <w:bCs/>
        </w:rPr>
        <w:t xml:space="preserve">Second-quarter services growth:</w:t>
      </w:r>
      <w:r>
        <w:t xml:space="preserve"> </w:t>
      </w:r>
      <w:r>
        <w:t xml:space="preserve">High teens is effectively the floor established by management.</w:t>
      </w:r>
    </w:p>
    <w:p>
      <w:pPr>
        <w:pStyle w:val="Compact"/>
        <w:numPr>
          <w:ilvl w:val="0"/>
          <w:numId w:val="1002"/>
        </w:numPr>
      </w:pPr>
      <w:r>
        <w:rPr>
          <w:b/>
          <w:bCs/>
        </w:rPr>
        <w:t xml:space="preserve">Spare-parts delinquency:</w:t>
      </w:r>
      <w:r>
        <w:t xml:space="preserve"> </w:t>
      </w:r>
      <w:r>
        <w:t xml:space="preserve">Delinquency was up roughly 70% from the end of 2024 because demand continued to exceed supply. A further increase is evidence of demand, but also of forgone near-term revenue.</w:t>
      </w:r>
    </w:p>
    <w:p>
      <w:pPr>
        <w:pStyle w:val="Compact"/>
        <w:numPr>
          <w:ilvl w:val="0"/>
          <w:numId w:val="1002"/>
        </w:numPr>
      </w:pPr>
      <w:r>
        <w:rPr>
          <w:b/>
          <w:bCs/>
        </w:rPr>
        <w:t xml:space="preserve">Shop-visit throughput:</w:t>
      </w:r>
      <w:r>
        <w:t xml:space="preserve"> </w:t>
      </w:r>
      <w:r>
        <w:t xml:space="preserve">Engine removals and engines awaiting induction exceed GE's plan. Investors need evidence that turnaround times and material availability are improving.</w:t>
      </w:r>
    </w:p>
    <w:p>
      <w:pPr>
        <w:pStyle w:val="Compact"/>
        <w:numPr>
          <w:ilvl w:val="0"/>
          <w:numId w:val="1002"/>
        </w:numPr>
      </w:pPr>
      <w:r>
        <w:rPr>
          <w:b/>
          <w:bCs/>
        </w:rPr>
        <w:t xml:space="preserve">Work-scope and pricing:</w:t>
      </w:r>
      <w:r>
        <w:t xml:space="preserve"> </w:t>
      </w:r>
      <w:r>
        <w:t xml:space="preserve">Volume alone is not enough; the mix and scope of shop visits determine service profitability.</w:t>
      </w:r>
    </w:p>
    <w:p>
      <w:pPr>
        <w:pStyle w:val="Compact"/>
        <w:numPr>
          <w:ilvl w:val="0"/>
          <w:numId w:val="1002"/>
        </w:numPr>
      </w:pPr>
      <w:r>
        <w:rPr>
          <w:b/>
          <w:bCs/>
        </w:rPr>
        <w:t xml:space="preserve">Airline behavior:</w:t>
      </w:r>
      <w:r>
        <w:t xml:space="preserve"> </w:t>
      </w:r>
      <w:r>
        <w:t xml:space="preserve">Any deferrals, lighter work scopes, or slowing orders would challenge the view that recent geopolitical and fuel-price pressures merely postpone rather than destroy demand.</w:t>
      </w:r>
    </w:p>
    <w:bookmarkEnd w:id="11"/>
    <w:bookmarkEnd w:id="12"/>
    <w:bookmarkStart w:id="13" w:name="supply-chain-and-engine-output"/>
    <w:p>
      <w:pPr>
        <w:pStyle w:val="Heading2"/>
      </w:pPr>
      <w:r>
        <w:t xml:space="preserve">Supply chain and engine output</w:t>
      </w:r>
    </w:p>
    <w:p>
      <w:pPr>
        <w:pStyle w:val="FirstParagraph"/>
      </w:pPr>
      <w:r>
        <w:t xml:space="preserve">GE's operational execution is the second major swing factor. Priority-supplier material input increased by double digits in the first quarter, helping total engine deliveries rise</w:t>
      </w:r>
      <w:r>
        <w:t xml:space="preserve"> </w:t>
      </w:r>
      <w:r>
        <w:rPr>
          <w:b/>
          <w:bCs/>
        </w:rPr>
        <w:t xml:space="preserve">43%</w:t>
      </w:r>
      <w:r>
        <w:t xml:space="preserve">, including:</w:t>
      </w:r>
    </w:p>
    <w:p>
      <w:pPr>
        <w:pStyle w:val="Compact"/>
        <w:numPr>
          <w:ilvl w:val="0"/>
          <w:numId w:val="1003"/>
        </w:numPr>
      </w:pPr>
      <w:r>
        <w:rPr>
          <w:b/>
          <w:bCs/>
        </w:rPr>
        <w:t xml:space="preserve">LEAP deliveries up 63%</w:t>
      </w:r>
    </w:p>
    <w:p>
      <w:pPr>
        <w:pStyle w:val="Compact"/>
        <w:numPr>
          <w:ilvl w:val="0"/>
          <w:numId w:val="1003"/>
        </w:numPr>
      </w:pPr>
      <w:r>
        <w:t xml:space="preserve">Widebody deliveries up more than 25%</w:t>
      </w:r>
    </w:p>
    <w:p>
      <w:pPr>
        <w:pStyle w:val="Compact"/>
        <w:numPr>
          <w:ilvl w:val="0"/>
          <w:numId w:val="1003"/>
        </w:numPr>
      </w:pPr>
      <w:r>
        <w:t xml:space="preserve">Defense engine deliveries up 24%</w:t>
      </w:r>
    </w:p>
    <w:p>
      <w:pPr>
        <w:pStyle w:val="FirstParagraph"/>
      </w:pPr>
      <w:r>
        <w:t xml:space="preserve">GE's full-year plan assumes LEAP deliveries increase approximately</w:t>
      </w:r>
      <w:r>
        <w:t xml:space="preserve"> </w:t>
      </w:r>
      <w:r>
        <w:rPr>
          <w:b/>
          <w:bCs/>
        </w:rPr>
        <w:t xml:space="preserve">15%</w:t>
      </w:r>
      <w:r>
        <w:t xml:space="preserve">, making the exceptionally strong first quarter partly a function of the comparison and production timing. Investors should focus on whether output remained strong sequentially and whether GE is reducing—not merely stabilizing—its overdue customer commitments.</w:t>
      </w:r>
    </w:p>
    <w:p>
      <w:pPr>
        <w:pStyle w:val="BodyText"/>
      </w:pPr>
      <w:r>
        <w:t xml:space="preserve">A particularly favorable print would combine strong revenue with lower delinquency, demonstrating that supply is beginning to catch up with demand.</w:t>
      </w:r>
    </w:p>
    <w:bookmarkEnd w:id="13"/>
    <w:bookmarkStart w:id="16" w:name="X87fadb2e7e6501f90ddc0f2a79351737e15be04"/>
    <w:p>
      <w:pPr>
        <w:pStyle w:val="Heading2"/>
      </w:pPr>
      <w:r>
        <w:t xml:space="preserve">Margins: Strong services versus loss-making new engines</w:t>
      </w:r>
    </w:p>
    <w:p>
      <w:pPr>
        <w:pStyle w:val="FirstParagraph"/>
      </w:pPr>
      <w:r>
        <w:t xml:space="preserve">Consensus calls for an operating margin near</w:t>
      </w:r>
      <w:r>
        <w:t xml:space="preserve"> </w:t>
      </w:r>
      <w:r>
        <w:rPr>
          <w:b/>
          <w:bCs/>
        </w:rPr>
        <w:t xml:space="preserve">22%</w:t>
      </w:r>
      <w:r>
        <w:t xml:space="preserve">, below the 23.0% reported a year ago but slightly above the first quarter's 21.8%.</w:t>
      </w:r>
    </w:p>
    <w:p>
      <w:pPr>
        <w:pStyle w:val="BodyText"/>
      </w:pPr>
      <w:r>
        <w:t xml:space="preserve">The margin debate centers on mix:</w:t>
      </w:r>
    </w:p>
    <w:bookmarkStart w:id="14" w:name="tailwinds"/>
    <w:p>
      <w:pPr>
        <w:pStyle w:val="Heading3"/>
      </w:pPr>
      <w:r>
        <w:t xml:space="preserve">Tailwinds</w:t>
      </w:r>
    </w:p>
    <w:p>
      <w:pPr>
        <w:pStyle w:val="Compact"/>
        <w:numPr>
          <w:ilvl w:val="0"/>
          <w:numId w:val="1004"/>
        </w:numPr>
      </w:pPr>
      <w:r>
        <w:t xml:space="preserve">High-margin spare-parts and shop-visit growth</w:t>
      </w:r>
    </w:p>
    <w:p>
      <w:pPr>
        <w:pStyle w:val="Compact"/>
        <w:numPr>
          <w:ilvl w:val="0"/>
          <w:numId w:val="1004"/>
        </w:numPr>
      </w:pPr>
      <w:r>
        <w:t xml:space="preserve">Pricing</w:t>
      </w:r>
    </w:p>
    <w:p>
      <w:pPr>
        <w:pStyle w:val="Compact"/>
        <w:numPr>
          <w:ilvl w:val="0"/>
          <w:numId w:val="1004"/>
        </w:numPr>
      </w:pPr>
      <w:r>
        <w:t xml:space="preserve">Higher MRO throughput</w:t>
      </w:r>
    </w:p>
    <w:p>
      <w:pPr>
        <w:pStyle w:val="Compact"/>
        <w:numPr>
          <w:ilvl w:val="0"/>
          <w:numId w:val="1004"/>
        </w:numPr>
      </w:pPr>
      <w:r>
        <w:t xml:space="preserve">Improving LEAP aftermarket economics</w:t>
      </w:r>
    </w:p>
    <w:p>
      <w:pPr>
        <w:pStyle w:val="Compact"/>
        <w:numPr>
          <w:ilvl w:val="0"/>
          <w:numId w:val="1004"/>
        </w:numPr>
      </w:pPr>
      <w:r>
        <w:t xml:space="preserve">Productivity from GE's FLIGHT DECK operating system</w:t>
      </w:r>
    </w:p>
    <w:bookmarkEnd w:id="14"/>
    <w:bookmarkStart w:id="15" w:name="headwinds"/>
    <w:p>
      <w:pPr>
        <w:pStyle w:val="Heading3"/>
      </w:pPr>
      <w:r>
        <w:t xml:space="preserve">Headwinds</w:t>
      </w:r>
    </w:p>
    <w:p>
      <w:pPr>
        <w:pStyle w:val="Compact"/>
        <w:numPr>
          <w:ilvl w:val="0"/>
          <w:numId w:val="1005"/>
        </w:numPr>
      </w:pPr>
      <w:r>
        <w:t xml:space="preserve">Higher deliveries of initially loss-making installed engines</w:t>
      </w:r>
    </w:p>
    <w:p>
      <w:pPr>
        <w:pStyle w:val="Compact"/>
        <w:numPr>
          <w:ilvl w:val="0"/>
          <w:numId w:val="1005"/>
        </w:numPr>
      </w:pPr>
      <w:r>
        <w:t xml:space="preserve">GE9X production and program costs</w:t>
      </w:r>
    </w:p>
    <w:p>
      <w:pPr>
        <w:pStyle w:val="Compact"/>
        <w:numPr>
          <w:ilvl w:val="0"/>
          <w:numId w:val="1005"/>
        </w:numPr>
      </w:pPr>
      <w:r>
        <w:t xml:space="preserve">Investment in capacity and durability upgrades</w:t>
      </w:r>
    </w:p>
    <w:p>
      <w:pPr>
        <w:pStyle w:val="Compact"/>
        <w:numPr>
          <w:ilvl w:val="0"/>
          <w:numId w:val="1005"/>
        </w:numPr>
      </w:pPr>
      <w:r>
        <w:t xml:space="preserve">Inflation and supplier costs</w:t>
      </w:r>
    </w:p>
    <w:p>
      <w:pPr>
        <w:pStyle w:val="Compact"/>
        <w:numPr>
          <w:ilvl w:val="0"/>
          <w:numId w:val="1005"/>
        </w:numPr>
      </w:pPr>
      <w:r>
        <w:t xml:space="preserve">Corporate costs and eliminations</w:t>
      </w:r>
    </w:p>
    <w:p>
      <w:pPr>
        <w:pStyle w:val="FirstParagraph"/>
      </w:pPr>
      <w:r>
        <w:t xml:space="preserve">CES margins declined 230 basis points to 26.4% in the first quarter as installed-engine growth and investment offset services strength. Management nevertheless said underlying services margins improved year-over-year and expects LEAP service margins to approach overall CES service margins around 2028.</w:t>
      </w:r>
    </w:p>
    <w:p>
      <w:pPr>
        <w:pStyle w:val="BodyText"/>
      </w:pPr>
      <w:r>
        <w:t xml:space="preserve">For this quarter,</w:t>
      </w:r>
      <w:r>
        <w:t xml:space="preserve"> </w:t>
      </w:r>
      <w:r>
        <w:rPr>
          <w:b/>
          <w:bCs/>
        </w:rPr>
        <w:t xml:space="preserve">margin quality matters more than the headline percentage</w:t>
      </w:r>
      <w:r>
        <w:t xml:space="preserve">. A 22% margin driven by higher service profit and improving productivity would be constructive. The same margin produced through lower investment or favorable one-time items would be less compelling.</w:t>
      </w:r>
    </w:p>
    <w:bookmarkEnd w:id="15"/>
    <w:bookmarkEnd w:id="16"/>
    <w:bookmarkStart w:id="18" w:name="X65f0ffd72964821301cdbda2485188a00637197"/>
    <w:p>
      <w:pPr>
        <w:pStyle w:val="Heading2"/>
      </w:pPr>
      <w:r>
        <w:t xml:space="preserve">Guidance: A raise may already be priced in</w:t>
      </w:r>
    </w:p>
    <w:p>
      <w:pPr>
        <w:pStyle w:val="FirstParagraph"/>
      </w:pPr>
      <w:r>
        <w:t xml:space="preserve">Current 2026 guidance is: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jc w:val="right"/>
            </w:pPr>
            <w:r>
              <w:t xml:space="preserve">Current guidance</w:t>
            </w:r>
          </w:p>
        </w:tc>
      </w:tr>
      <w:tr>
        <w:tc>
          <w:tcPr/>
          <w:p>
            <w:pPr>
              <w:pStyle w:val="Compact"/>
            </w:pPr>
            <w:r>
              <w:t xml:space="preserve">Adjusted revenue growth</w:t>
            </w:r>
          </w:p>
        </w:tc>
        <w:tc>
          <w:tcPr/>
          <w:p>
            <w:pPr>
              <w:pStyle w:val="Compact"/>
              <w:jc w:val="right"/>
            </w:pPr>
            <w:r>
              <w:rPr>
                <w:b/>
                <w:bCs/>
              </w:rPr>
              <w:t xml:space="preserve">Low double digits</w:t>
            </w:r>
          </w:p>
        </w:tc>
      </w:tr>
      <w:tr>
        <w:tc>
          <w:tcPr/>
          <w:p>
            <w:pPr>
              <w:pStyle w:val="Compact"/>
            </w:pPr>
            <w:r>
              <w:t xml:space="preserve">Operating profit</w:t>
            </w:r>
          </w:p>
        </w:tc>
        <w:tc>
          <w:tcPr/>
          <w:p>
            <w:pPr>
              <w:pStyle w:val="Compact"/>
              <w:jc w:val="right"/>
            </w:pPr>
            <m:oMath>
              <m:r>
                <m:t>9.85</m:t>
              </m:r>
              <m:r>
                <m:t>B</m:t>
              </m:r>
              <m:r>
                <m:rPr>
                  <m:sty m:val="p"/>
                </m:rPr>
                <m:t>–</m:t>
              </m:r>
            </m:oMath>
            <w:r>
              <w:rPr>
                <w:b/>
                <w:bCs/>
              </w:rPr>
              <w:t xml:space="preserve">10.25B</w:t>
            </w:r>
          </w:p>
        </w:tc>
      </w:tr>
      <w:tr>
        <w:tc>
          <w:tcPr/>
          <w:p>
            <w:pPr>
              <w:pStyle w:val="Compact"/>
            </w:pPr>
            <w:r>
              <w:t xml:space="preserve">Adjusted EPS</w:t>
            </w:r>
          </w:p>
        </w:tc>
        <w:tc>
          <w:tcPr/>
          <w:p>
            <w:pPr>
              <w:pStyle w:val="Compact"/>
              <w:jc w:val="right"/>
            </w:pPr>
            <m:oMath>
              <m:r>
                <m:t>7.10</m:t>
              </m:r>
              <m:r>
                <m:rPr>
                  <m:sty m:val="p"/>
                </m:rPr>
                <m:t>–</m:t>
              </m:r>
            </m:oMath>
            <w:r>
              <w:rPr>
                <w:b/>
                <w:bCs/>
              </w:rPr>
              <w:t xml:space="preserve">7.40</w:t>
            </w:r>
          </w:p>
        </w:tc>
      </w:tr>
      <w:tr>
        <w:tc>
          <w:tcPr/>
          <w:p>
            <w:pPr>
              <w:pStyle w:val="Compact"/>
            </w:pPr>
            <w:r>
              <w:t xml:space="preserve">Free cash flow</w:t>
            </w:r>
          </w:p>
        </w:tc>
        <w:tc>
          <w:tcPr/>
          <w:p>
            <w:pPr>
              <w:pStyle w:val="Compact"/>
              <w:jc w:val="right"/>
            </w:pPr>
            <m:oMath>
              <m:r>
                <m:t>8.0</m:t>
              </m:r>
              <m:r>
                <m:t>B</m:t>
              </m:r>
              <m:r>
                <m:rPr>
                  <m:sty m:val="p"/>
                </m:rPr>
                <m:t>–</m:t>
              </m:r>
            </m:oMath>
            <w:r>
              <w:rPr>
                <w:b/>
                <w:bCs/>
              </w:rPr>
              <w:t xml:space="preserve">8.4B</w:t>
            </w:r>
          </w:p>
        </w:tc>
      </w:tr>
      <w:tr>
        <w:tc>
          <w:tcPr/>
          <w:p>
            <w:pPr>
              <w:pStyle w:val="Compact"/>
            </w:pPr>
            <w:r>
              <w:t xml:space="preserve">FCF conversion</w:t>
            </w:r>
          </w:p>
        </w:tc>
        <w:tc>
          <w:tcPr/>
          <w:p>
            <w:pPr>
              <w:pStyle w:val="Compact"/>
              <w:jc w:val="right"/>
            </w:pPr>
            <w:r>
              <w:rPr>
                <w:b/>
                <w:bCs/>
              </w:rPr>
              <w:t xml:space="preserve">Above 100%</w:t>
            </w:r>
          </w:p>
        </w:tc>
      </w:tr>
    </w:tbl>
    <w:p>
      <w:pPr>
        <w:pStyle w:val="BodyText"/>
      </w:pPr>
      <w:r>
        <w:t xml:space="preserve">After the first quarter, management said GE was trending toward the</w:t>
      </w:r>
      <w:r>
        <w:t xml:space="preserve"> </w:t>
      </w:r>
      <w:r>
        <w:rPr>
          <w:b/>
          <w:bCs/>
        </w:rPr>
        <w:t xml:space="preserve">high end of every range</w:t>
      </w:r>
      <w:r>
        <w:t xml:space="preserve">. It also disclosed that the quarter was approximately $300 million better than its original internal expectations and said that, absent macroeconomic uncertainty, it likely would have raised guidance.</w:t>
      </w:r>
    </w:p>
    <w:p>
      <w:pPr>
        <w:pStyle w:val="BodyText"/>
      </w:pPr>
      <w:r>
        <w:t xml:space="preserve">Since then, Culp's June comments suggested that commercial aftermarket demand remained stronger than expected. Consequently, the market will probably view a simple reiteration as cautious at best and disappointing at worst.</w:t>
      </w:r>
    </w:p>
    <w:bookmarkStart w:id="17" w:name="X5c731da79b6dbda23682a2e67476f6a8b8d6d5a"/>
    <w:p>
      <w:pPr>
        <w:pStyle w:val="Heading3"/>
      </w:pPr>
      <w:r>
        <w:t xml:space="preserve">A convincing guidance increase would include</w:t>
      </w:r>
    </w:p>
    <w:p>
      <w:pPr>
        <w:pStyle w:val="Compact"/>
        <w:numPr>
          <w:ilvl w:val="0"/>
          <w:numId w:val="1006"/>
        </w:numPr>
      </w:pPr>
      <w:r>
        <w:t xml:space="preserve">Higher full-year services revenue expectations</w:t>
      </w:r>
    </w:p>
    <w:p>
      <w:pPr>
        <w:pStyle w:val="Compact"/>
        <w:numPr>
          <w:ilvl w:val="0"/>
          <w:numId w:val="1006"/>
        </w:numPr>
      </w:pPr>
      <w:r>
        <w:t xml:space="preserve">A raised operating-profit and EPS range—not just narrower ranges around the old high end</w:t>
      </w:r>
    </w:p>
    <w:p>
      <w:pPr>
        <w:pStyle w:val="Compact"/>
        <w:numPr>
          <w:ilvl w:val="0"/>
          <w:numId w:val="1006"/>
        </w:numPr>
      </w:pPr>
      <w:r>
        <w:t xml:space="preserve">Higher free-cash-flow guidance or increased confidence in conversion</w:t>
      </w:r>
    </w:p>
    <w:p>
      <w:pPr>
        <w:pStyle w:val="Compact"/>
        <w:numPr>
          <w:ilvl w:val="0"/>
          <w:numId w:val="1006"/>
        </w:numPr>
      </w:pPr>
      <w:r>
        <w:t xml:space="preserve">Evidence that the raise comes from operating performance rather than tax rate or share repurchases</w:t>
      </w:r>
    </w:p>
    <w:p>
      <w:pPr>
        <w:pStyle w:val="Compact"/>
        <w:numPr>
          <w:ilvl w:val="0"/>
          <w:numId w:val="1006"/>
        </w:numPr>
      </w:pPr>
      <w:r>
        <w:t xml:space="preserve">Limited deterioration in second-half assumptions</w:t>
      </w:r>
    </w:p>
    <w:p>
      <w:pPr>
        <w:pStyle w:val="FirstParagraph"/>
      </w:pPr>
      <w:r>
        <w:t xml:space="preserve">Management could still hold guidance because of fuel prices, Middle East disruption, and uncertain airline traffic. But with the stock's valuation, the burden will be on GE to explain why strong first-half demand is not translating into higher full-year expectations.</w:t>
      </w:r>
    </w:p>
    <w:bookmarkEnd w:id="17"/>
    <w:bookmarkEnd w:id="18"/>
    <w:bookmarkStart w:id="19" w:name="defense-could-provide-incremental-upside"/>
    <w:p>
      <w:pPr>
        <w:pStyle w:val="Heading2"/>
      </w:pPr>
      <w:r>
        <w:t xml:space="preserve">Defense could provide incremental upside</w:t>
      </w:r>
    </w:p>
    <w:p>
      <w:pPr>
        <w:pStyle w:val="FirstParagraph"/>
      </w:pPr>
      <w:r>
        <w:t xml:space="preserve">Defense &amp; Propulsion Technologies had an unusually strong first quarter:</w:t>
      </w:r>
    </w:p>
    <w:p>
      <w:pPr>
        <w:pStyle w:val="Compact"/>
        <w:numPr>
          <w:ilvl w:val="0"/>
          <w:numId w:val="1007"/>
        </w:numPr>
      </w:pPr>
      <w:r>
        <w:t xml:space="preserve">Orders increased</w:t>
      </w:r>
      <w:r>
        <w:t xml:space="preserve"> </w:t>
      </w:r>
      <w:r>
        <w:rPr>
          <w:b/>
          <w:bCs/>
        </w:rPr>
        <w:t xml:space="preserve">67%</w:t>
      </w:r>
      <w:r>
        <w:t xml:space="preserve">.</w:t>
      </w:r>
    </w:p>
    <w:p>
      <w:pPr>
        <w:pStyle w:val="Compact"/>
        <w:numPr>
          <w:ilvl w:val="0"/>
          <w:numId w:val="1007"/>
        </w:numPr>
      </w:pPr>
      <w:r>
        <w:t xml:space="preserve">Revenue grew</w:t>
      </w:r>
      <w:r>
        <w:t xml:space="preserve"> </w:t>
      </w:r>
      <w:r>
        <w:rPr>
          <w:b/>
          <w:bCs/>
        </w:rPr>
        <w:t xml:space="preserve">19%</w:t>
      </w:r>
      <w:r>
        <w:t xml:space="preserve">.</w:t>
      </w:r>
    </w:p>
    <w:p>
      <w:pPr>
        <w:pStyle w:val="Compact"/>
        <w:numPr>
          <w:ilvl w:val="0"/>
          <w:numId w:val="1007"/>
        </w:numPr>
      </w:pPr>
      <w:r>
        <w:t xml:space="preserve">Operating profit increased</w:t>
      </w:r>
      <w:r>
        <w:t xml:space="preserve"> </w:t>
      </w:r>
      <w:r>
        <w:rPr>
          <w:b/>
          <w:bCs/>
        </w:rPr>
        <w:t xml:space="preserve">17%</w:t>
      </w:r>
      <w:r>
        <w:t xml:space="preserve">.</w:t>
      </w:r>
    </w:p>
    <w:p>
      <w:pPr>
        <w:pStyle w:val="Compact"/>
        <w:numPr>
          <w:ilvl w:val="0"/>
          <w:numId w:val="1007"/>
        </w:numPr>
      </w:pPr>
      <w:r>
        <w:t xml:space="preserve">Defense book-to-bill exceeded 2× for a second consecutive quarter.</w:t>
      </w:r>
    </w:p>
    <w:p>
      <w:pPr>
        <w:pStyle w:val="Compact"/>
        <w:numPr>
          <w:ilvl w:val="0"/>
          <w:numId w:val="1007"/>
        </w:numPr>
      </w:pPr>
      <w:r>
        <w:t xml:space="preserve">Segment backlog benefited from programs including T408, F110, rotorcraft engines, and emerging small-engine applications.</w:t>
      </w:r>
    </w:p>
    <w:p>
      <w:pPr>
        <w:pStyle w:val="FirstParagraph"/>
      </w:pPr>
      <w:r>
        <w:t xml:space="preserve">Full-year guidance still calls for only</w:t>
      </w:r>
      <w:r>
        <w:t xml:space="preserve"> </w:t>
      </w:r>
      <w:r>
        <w:rPr>
          <w:b/>
          <w:bCs/>
        </w:rPr>
        <w:t xml:space="preserve">mid- to high-single-digit revenue growth</w:t>
      </w:r>
      <w:r>
        <w:t xml:space="preserve"> </w:t>
      </w:r>
      <w:r>
        <w:t xml:space="preserve">and operating profit of</w:t>
      </w:r>
      <w:r>
        <w:t xml:space="preserve"> </w:t>
      </w:r>
      <m:oMath>
        <m:r>
          <m:t>1.55</m:t>
        </m:r>
        <m:r>
          <m:t>B</m:t>
        </m:r>
        <m:r>
          <m:rPr>
            <m:sty m:val="p"/>
          </m:rPr>
          <m:t>–</m:t>
        </m:r>
      </m:oMath>
      <w:r>
        <w:rPr>
          <w:b/>
          <w:bCs/>
        </w:rPr>
        <w:t xml:space="preserve">1.65B</w:t>
      </w:r>
      <w:r>
        <w:t xml:space="preserve">. That appears achievable following the first-quarter start, although equipment-heavy mix could limit margins.</w:t>
      </w:r>
    </w:p>
    <w:p>
      <w:pPr>
        <w:pStyle w:val="BodyText"/>
      </w:pPr>
      <w:r>
        <w:t xml:space="preserve">Investors should look for higher production rates, improved mix, and commentary on how quickly recent orders can convert into revenue.</w:t>
      </w:r>
    </w:p>
    <w:bookmarkEnd w:id="19"/>
    <w:bookmarkStart w:id="20" w:name="ge9x-remains-an-important-execution-risk"/>
    <w:p>
      <w:pPr>
        <w:pStyle w:val="Heading2"/>
      </w:pPr>
      <w:r>
        <w:t xml:space="preserve">GE9X remains an important execution risk</w:t>
      </w:r>
    </w:p>
    <w:p>
      <w:pPr>
        <w:pStyle w:val="FirstParagraph"/>
      </w:pPr>
      <w:r>
        <w:t xml:space="preserve">GE disclosed a GE9X mid-seal durability issue during the first-quarter call. Management said it had identified the likely root cause, was finalizing a modification, and expected no change to either the 777X certification schedule or full-year program losses. GE9X deliveries were expected to be weighted toward the second half.</w:t>
      </w:r>
    </w:p>
    <w:p>
      <w:pPr>
        <w:pStyle w:val="BodyText"/>
      </w:pPr>
      <w:r>
        <w:t xml:space="preserve">The upcoming update should address:</w:t>
      </w:r>
    </w:p>
    <w:p>
      <w:pPr>
        <w:pStyle w:val="Compact"/>
        <w:numPr>
          <w:ilvl w:val="0"/>
          <w:numId w:val="1008"/>
        </w:numPr>
      </w:pPr>
      <w:r>
        <w:t xml:space="preserve">Whether the modification remains on schedule</w:t>
      </w:r>
    </w:p>
    <w:p>
      <w:pPr>
        <w:pStyle w:val="Compact"/>
        <w:numPr>
          <w:ilvl w:val="0"/>
          <w:numId w:val="1008"/>
        </w:numPr>
      </w:pPr>
      <w:r>
        <w:t xml:space="preserve">FAA and Boeing coordination</w:t>
      </w:r>
    </w:p>
    <w:p>
      <w:pPr>
        <w:pStyle w:val="Compact"/>
        <w:numPr>
          <w:ilvl w:val="0"/>
          <w:numId w:val="1008"/>
        </w:numPr>
      </w:pPr>
      <w:r>
        <w:t xml:space="preserve">Supplier readiness for the revised component</w:t>
      </w:r>
    </w:p>
    <w:p>
      <w:pPr>
        <w:pStyle w:val="Compact"/>
        <w:numPr>
          <w:ilvl w:val="0"/>
          <w:numId w:val="1008"/>
        </w:numPr>
      </w:pPr>
      <w:r>
        <w:t xml:space="preserve">Second-half delivery timing</w:t>
      </w:r>
    </w:p>
    <w:p>
      <w:pPr>
        <w:pStyle w:val="Compact"/>
        <w:numPr>
          <w:ilvl w:val="0"/>
          <w:numId w:val="1008"/>
        </w:numPr>
      </w:pPr>
      <w:r>
        <w:t xml:space="preserve">Any change in GE9X losses or cash requirements</w:t>
      </w:r>
    </w:p>
    <w:p>
      <w:pPr>
        <w:pStyle w:val="FirstParagraph"/>
      </w:pPr>
      <w:r>
        <w:t xml:space="preserve">A schedule slip would affect near-term equipment revenue and potentially raise concerns about the program's cost trajectory.</w:t>
      </w:r>
    </w:p>
    <w:bookmarkEnd w:id="20"/>
    <w:bookmarkStart w:id="21" w:name="macro-risks-to-monitor"/>
    <w:p>
      <w:pPr>
        <w:pStyle w:val="Heading2"/>
      </w:pPr>
      <w:r>
        <w:t xml:space="preserve">Macro risks to monitor</w:t>
      </w:r>
    </w:p>
    <w:p>
      <w:pPr>
        <w:pStyle w:val="FirstParagraph"/>
      </w:pPr>
      <w:r>
        <w:t xml:space="preserve">GE reduced its 2026 departure-growth assumption during the first-quarter call to</w:t>
      </w:r>
      <w:r>
        <w:t xml:space="preserve"> </w:t>
      </w:r>
      <w:r>
        <w:rPr>
          <w:b/>
          <w:bCs/>
        </w:rPr>
        <w:t xml:space="preserve">flat to low single digits</w:t>
      </w:r>
      <w:r>
        <w:t xml:space="preserve">, citing Middle East disruption, elevated fuel prices, and slower GDP growth. Management nevertheless expected only a limited 2026 services impact because aftermarket demand usually responds to traffic changes with a lag.</w:t>
      </w:r>
    </w:p>
    <w:p>
      <w:pPr>
        <w:pStyle w:val="BodyText"/>
      </w:pPr>
      <w:r>
        <w:t xml:space="preserve">Key questions for the call include:</w:t>
      </w:r>
    </w:p>
    <w:p>
      <w:pPr>
        <w:pStyle w:val="Compact"/>
        <w:numPr>
          <w:ilvl w:val="0"/>
          <w:numId w:val="1009"/>
        </w:numPr>
      </w:pPr>
      <w:r>
        <w:t xml:space="preserve">Have spare-parts orders remained near June's elevated growth rate?</w:t>
      </w:r>
    </w:p>
    <w:p>
      <w:pPr>
        <w:pStyle w:val="Compact"/>
        <w:numPr>
          <w:ilvl w:val="0"/>
          <w:numId w:val="1009"/>
        </w:numPr>
      </w:pPr>
      <w:r>
        <w:t xml:space="preserve">Are airlines reducing engine removals or choosing lighter work scopes?</w:t>
      </w:r>
    </w:p>
    <w:p>
      <w:pPr>
        <w:pStyle w:val="Compact"/>
        <w:numPr>
          <w:ilvl w:val="0"/>
          <w:numId w:val="1009"/>
        </w:numPr>
      </w:pPr>
      <w:r>
        <w:t xml:space="preserve">Have parked aircraft and retirements begun to rise?</w:t>
      </w:r>
    </w:p>
    <w:p>
      <w:pPr>
        <w:pStyle w:val="Compact"/>
        <w:numPr>
          <w:ilvl w:val="0"/>
          <w:numId w:val="1009"/>
        </w:numPr>
      </w:pPr>
      <w:r>
        <w:t xml:space="preserve">Is the Gulf-region disruption affecting widebody demand?</w:t>
      </w:r>
    </w:p>
    <w:p>
      <w:pPr>
        <w:pStyle w:val="Compact"/>
        <w:numPr>
          <w:ilvl w:val="0"/>
          <w:numId w:val="1009"/>
        </w:numPr>
      </w:pPr>
      <w:r>
        <w:t xml:space="preserve">Does management now see more risk shifting into 2027?</w:t>
      </w:r>
    </w:p>
    <w:p>
      <w:pPr>
        <w:pStyle w:val="FirstParagraph"/>
      </w:pPr>
      <w:r>
        <w:t xml:space="preserve">A slower traffic environment is manageable if it merely shifts maintenance demand. It becomes more concerning if airline financial stress causes maintenance deferrals, accelerated retirements, or customer-credit problems.</w:t>
      </w:r>
    </w:p>
    <w:bookmarkEnd w:id="21"/>
    <w:bookmarkStart w:id="22" w:name="stock-setup"/>
    <w:p>
      <w:pPr>
        <w:pStyle w:val="Heading2"/>
      </w:pPr>
      <w:r>
        <w:t xml:space="preserve">Stock setup</w:t>
      </w:r>
    </w:p>
    <w:p>
      <w:pPr>
        <w:pStyle w:val="FirstParagraph"/>
      </w:pPr>
      <w:r>
        <w:t xml:space="preserve">GE closed July 15 at</w:t>
      </w:r>
      <w:r>
        <w:t xml:space="preserve"> </w:t>
      </w:r>
      <w:r>
        <w:rPr>
          <w:b/>
          <w:bCs/>
        </w:rPr>
        <w:t xml:space="preserve">$360.39</w:t>
      </w:r>
      <w:r>
        <w:t xml:space="preserve">:</w:t>
      </w:r>
    </w:p>
    <w:p>
      <w:pPr>
        <w:pStyle w:val="Compact"/>
        <w:numPr>
          <w:ilvl w:val="0"/>
          <w:numId w:val="1010"/>
        </w:numPr>
      </w:pPr>
      <w:r>
        <w:t xml:space="preserve">Approximately</w:t>
      </w:r>
      <w:r>
        <w:t xml:space="preserve"> </w:t>
      </w:r>
      <w:r>
        <w:rPr>
          <w:b/>
          <w:bCs/>
        </w:rPr>
        <w:t xml:space="preserve">12% above</w:t>
      </w:r>
      <w:r>
        <w:t xml:space="preserve"> </w:t>
      </w:r>
      <w:r>
        <w:t xml:space="preserve">its January 2 close</w:t>
      </w:r>
    </w:p>
    <w:p>
      <w:pPr>
        <w:pStyle w:val="Compact"/>
        <w:numPr>
          <w:ilvl w:val="0"/>
          <w:numId w:val="1010"/>
        </w:numPr>
      </w:pPr>
      <w:r>
        <w:t xml:space="preserve">Approximately</w:t>
      </w:r>
      <w:r>
        <w:t xml:space="preserve"> </w:t>
      </w:r>
      <w:r>
        <w:rPr>
          <w:b/>
          <w:bCs/>
        </w:rPr>
        <w:t xml:space="preserve">26% above</w:t>
      </w:r>
      <w:r>
        <w:t xml:space="preserve"> </w:t>
      </w:r>
      <w:r>
        <w:t xml:space="preserve">its April 21 earnings-day close</w:t>
      </w:r>
    </w:p>
    <w:p>
      <w:pPr>
        <w:pStyle w:val="Compact"/>
        <w:numPr>
          <w:ilvl w:val="0"/>
          <w:numId w:val="1010"/>
        </w:numPr>
      </w:pPr>
      <w:r>
        <w:t xml:space="preserve">Roughly</w:t>
      </w:r>
      <w:r>
        <w:t xml:space="preserve"> </w:t>
      </w:r>
      <w:r>
        <w:rPr>
          <w:b/>
          <w:bCs/>
        </w:rPr>
        <w:t xml:space="preserve">5% below</w:t>
      </w:r>
      <w:r>
        <w:t xml:space="preserve"> </w:t>
      </w:r>
      <w:r>
        <w:t xml:space="preserve">its early-July high</w:t>
      </w:r>
    </w:p>
    <w:p>
      <w:pPr>
        <w:pStyle w:val="FirstParagraph"/>
      </w:pPr>
      <w:r>
        <w:t xml:space="preserve">At about</w:t>
      </w:r>
      <w:r>
        <w:t xml:space="preserve"> </w:t>
      </w:r>
      <w:r>
        <w:rPr>
          <w:b/>
          <w:bCs/>
        </w:rPr>
        <w:t xml:space="preserve">50× the midpoint of 2026 EPS guidance</w:t>
      </w:r>
      <w:r>
        <w:t xml:space="preserve">, the valuation implies confidence in sustained high-teens earnings growth and exceptional execution. The stock can still work at this multiple, but the report needs to reinforce a multiyear story rather than simply beat second-quarter estimates.</w:t>
      </w:r>
    </w:p>
    <w:bookmarkEnd w:id="22"/>
    <w:bookmarkStart w:id="26" w:name="potential-reaction-framework"/>
    <w:p>
      <w:pPr>
        <w:pStyle w:val="Heading2"/>
      </w:pPr>
      <w:r>
        <w:t xml:space="preserve">Potential reaction framework</w:t>
      </w:r>
    </w:p>
    <w:bookmarkStart w:id="23" w:name="bull-case"/>
    <w:p>
      <w:pPr>
        <w:pStyle w:val="Heading3"/>
      </w:pPr>
      <w:r>
        <w:t xml:space="preserve">Bull case</w:t>
      </w:r>
    </w:p>
    <w:p>
      <w:pPr>
        <w:pStyle w:val="Compact"/>
        <w:numPr>
          <w:ilvl w:val="0"/>
          <w:numId w:val="1011"/>
        </w:numPr>
      </w:pPr>
      <w:r>
        <w:t xml:space="preserve">Adjusted revenue comfortably above $11.8 billion</w:t>
      </w:r>
    </w:p>
    <w:p>
      <w:pPr>
        <w:pStyle w:val="Compact"/>
        <w:numPr>
          <w:ilvl w:val="0"/>
          <w:numId w:val="1011"/>
        </w:numPr>
      </w:pPr>
      <w:r>
        <w:t xml:space="preserve">EPS above $1.86 on operating performance</w:t>
      </w:r>
    </w:p>
    <w:p>
      <w:pPr>
        <w:pStyle w:val="Compact"/>
        <w:numPr>
          <w:ilvl w:val="0"/>
          <w:numId w:val="1011"/>
        </w:numPr>
      </w:pPr>
      <w:r>
        <w:t xml:space="preserve">Services growth of 20% or better</w:t>
      </w:r>
    </w:p>
    <w:p>
      <w:pPr>
        <w:pStyle w:val="Compact"/>
        <w:numPr>
          <w:ilvl w:val="0"/>
          <w:numId w:val="1011"/>
        </w:numPr>
      </w:pPr>
      <w:r>
        <w:t xml:space="preserve">Operating margin at or above 22%</w:t>
      </w:r>
    </w:p>
    <w:p>
      <w:pPr>
        <w:pStyle w:val="Compact"/>
        <w:numPr>
          <w:ilvl w:val="0"/>
          <w:numId w:val="1011"/>
        </w:numPr>
      </w:pPr>
      <w:r>
        <w:t xml:space="preserve">Full-year profit, EPS, and FCF guidance raised</w:t>
      </w:r>
    </w:p>
    <w:p>
      <w:pPr>
        <w:pStyle w:val="Compact"/>
        <w:numPr>
          <w:ilvl w:val="0"/>
          <w:numId w:val="1011"/>
        </w:numPr>
      </w:pPr>
      <w:r>
        <w:t xml:space="preserve">Continued 30%–40% spare-parts order growth</w:t>
      </w:r>
    </w:p>
    <w:p>
      <w:pPr>
        <w:pStyle w:val="Compact"/>
        <w:numPr>
          <w:ilvl w:val="0"/>
          <w:numId w:val="1011"/>
        </w:numPr>
      </w:pPr>
      <w:r>
        <w:t xml:space="preserve">Improving supplier output and no GE9X schedule change</w:t>
      </w:r>
    </w:p>
    <w:p>
      <w:pPr>
        <w:pStyle w:val="FirstParagraph"/>
      </w:pPr>
      <w:r>
        <w:rPr>
          <w:b/>
          <w:bCs/>
        </w:rPr>
        <w:t xml:space="preserve">Likely interpretation:</w:t>
      </w:r>
      <w:r>
        <w:t xml:space="preserve"> </w:t>
      </w:r>
      <w:r>
        <w:t xml:space="preserve">The aftermarket cycle remains stronger and longer than expected, with GE successfully converting backlog into cash.</w:t>
      </w:r>
    </w:p>
    <w:bookmarkEnd w:id="23"/>
    <w:bookmarkStart w:id="24" w:name="base-case"/>
    <w:p>
      <w:pPr>
        <w:pStyle w:val="Heading3"/>
      </w:pPr>
      <w:r>
        <w:t xml:space="preserve">Base case</w:t>
      </w:r>
    </w:p>
    <w:p>
      <w:pPr>
        <w:pStyle w:val="Compact"/>
        <w:numPr>
          <w:ilvl w:val="0"/>
          <w:numId w:val="1012"/>
        </w:numPr>
      </w:pPr>
      <w:r>
        <w:t xml:space="preserve">Modest revenue and EPS beat</w:t>
      </w:r>
    </w:p>
    <w:p>
      <w:pPr>
        <w:pStyle w:val="Compact"/>
        <w:numPr>
          <w:ilvl w:val="0"/>
          <w:numId w:val="1012"/>
        </w:numPr>
      </w:pPr>
      <w:r>
        <w:t xml:space="preserve">Services growth in the high teens</w:t>
      </w:r>
    </w:p>
    <w:p>
      <w:pPr>
        <w:pStyle w:val="Compact"/>
        <w:numPr>
          <w:ilvl w:val="0"/>
          <w:numId w:val="1012"/>
        </w:numPr>
      </w:pPr>
      <w:r>
        <w:t xml:space="preserve">Margins around 22%</w:t>
      </w:r>
    </w:p>
    <w:p>
      <w:pPr>
        <w:pStyle w:val="Compact"/>
        <w:numPr>
          <w:ilvl w:val="0"/>
          <w:numId w:val="1012"/>
        </w:numPr>
      </w:pPr>
      <w:r>
        <w:t xml:space="preserve">Guidance moved to the high end or raised only slightly</w:t>
      </w:r>
    </w:p>
    <w:p>
      <w:pPr>
        <w:pStyle w:val="Compact"/>
        <w:numPr>
          <w:ilvl w:val="0"/>
          <w:numId w:val="1012"/>
        </w:numPr>
      </w:pPr>
      <w:r>
        <w:t xml:space="preserve">Supply-chain commentary remains constructive but delinquency stays elevated</w:t>
      </w:r>
    </w:p>
    <w:p>
      <w:pPr>
        <w:pStyle w:val="FirstParagraph"/>
      </w:pPr>
      <w:r>
        <w:rPr>
          <w:b/>
          <w:bCs/>
        </w:rPr>
        <w:t xml:space="preserve">Likely interpretation:</w:t>
      </w:r>
      <w:r>
        <w:t xml:space="preserve"> </w:t>
      </w:r>
      <w:r>
        <w:t xml:space="preserve">Fundamentals remain excellent, but much of the strength is reflected in the valuation. The share reaction could be muted.</w:t>
      </w:r>
    </w:p>
    <w:bookmarkEnd w:id="24"/>
    <w:bookmarkStart w:id="25" w:name="bear-case"/>
    <w:p>
      <w:pPr>
        <w:pStyle w:val="Heading3"/>
      </w:pPr>
      <w:r>
        <w:t xml:space="preserve">Bear case</w:t>
      </w:r>
    </w:p>
    <w:p>
      <w:pPr>
        <w:pStyle w:val="Compact"/>
        <w:numPr>
          <w:ilvl w:val="0"/>
          <w:numId w:val="1013"/>
        </w:numPr>
      </w:pPr>
      <w:r>
        <w:t xml:space="preserve">Services growth below management's high-teens indication</w:t>
      </w:r>
    </w:p>
    <w:p>
      <w:pPr>
        <w:pStyle w:val="Compact"/>
        <w:numPr>
          <w:ilvl w:val="0"/>
          <w:numId w:val="1013"/>
        </w:numPr>
      </w:pPr>
      <w:r>
        <w:t xml:space="preserve">Operating margin below 22%</w:t>
      </w:r>
    </w:p>
    <w:p>
      <w:pPr>
        <w:pStyle w:val="Compact"/>
        <w:numPr>
          <w:ilvl w:val="0"/>
          <w:numId w:val="1013"/>
        </w:numPr>
      </w:pPr>
      <w:r>
        <w:t xml:space="preserve">Higher delinquencies without corresponding output growth</w:t>
      </w:r>
    </w:p>
    <w:p>
      <w:pPr>
        <w:pStyle w:val="Compact"/>
        <w:numPr>
          <w:ilvl w:val="0"/>
          <w:numId w:val="1013"/>
        </w:numPr>
      </w:pPr>
      <w:r>
        <w:t xml:space="preserve">Guidance merely reiterated or second-half expectations reduced</w:t>
      </w:r>
    </w:p>
    <w:p>
      <w:pPr>
        <w:pStyle w:val="Compact"/>
        <w:numPr>
          <w:ilvl w:val="0"/>
          <w:numId w:val="1013"/>
        </w:numPr>
      </w:pPr>
      <w:r>
        <w:t xml:space="preserve">Airline deferrals, weaker work scopes, or GE9X delays</w:t>
      </w:r>
    </w:p>
    <w:p>
      <w:pPr>
        <w:pStyle w:val="FirstParagraph"/>
      </w:pPr>
      <w:r>
        <w:rPr>
          <w:b/>
          <w:bCs/>
        </w:rPr>
        <w:t xml:space="preserve">Likely interpretation:</w:t>
      </w:r>
      <w:r>
        <w:t xml:space="preserve"> </w:t>
      </w:r>
      <w:r>
        <w:t xml:space="preserve">The earnings cycle is still healthy, but growth and margin expectations have run ahead of operational reality.</w:t>
      </w:r>
    </w:p>
    <w:bookmarkEnd w:id="25"/>
    <w:bookmarkEnd w:id="26"/>
    <w:bookmarkStart w:id="27" w:name="bottom-line"/>
    <w:p>
      <w:pPr>
        <w:pStyle w:val="Heading2"/>
      </w:pPr>
      <w:r>
        <w:t xml:space="preserve">Bottom line</w:t>
      </w:r>
    </w:p>
    <w:p>
      <w:pPr>
        <w:pStyle w:val="FirstParagraph"/>
      </w:pPr>
      <w:r>
        <w:t xml:space="preserve">The most important figure is not adjusted EPS by itself. The report needs to show that GE is</w:t>
      </w:r>
      <w:r>
        <w:t xml:space="preserve"> </w:t>
      </w:r>
      <w:r>
        <w:rPr>
          <w:b/>
          <w:bCs/>
        </w:rPr>
        <w:t xml:space="preserve">converting exceptional aftermarket demand into profitable output and cash while absorbing the cost of new-engine growth</w:t>
      </w:r>
      <w:r>
        <w:t xml:space="preserve">.</w:t>
      </w:r>
    </w:p>
    <w:p>
      <w:pPr>
        <w:pStyle w:val="BodyText"/>
      </w:pPr>
      <w:r>
        <w:t xml:space="preserve">The fundamental setup is favorable: second-quarter services demand appears robust, defense is ahead of plan, and management entered the quarter with unusually high revenue visibility. But expectations are equally elevated. A clean beat should be achievable; to drive meaningful upside in the stock, GE likely needs a</w:t>
      </w:r>
      <w:r>
        <w:t xml:space="preserve"> </w:t>
      </w:r>
      <w:r>
        <w:rPr>
          <w:b/>
          <w:bCs/>
        </w:rPr>
        <w:t xml:space="preserve">guidance raise, strong margin quality, and confirmation that supply-chain improvements are beginning to close the gap with demand</w:t>
      </w:r>
      <w:r>
        <w:t xml:space="preserve">.</w:t>
      </w:r>
    </w:p>
    <w:bookmarkEnd w:id="27"/>
    <w:bookmarkEnd w:id="2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2026-07-16T01:08:11Z</dcterms:created>
  <dcterms:modified xsi:type="dcterms:W3CDTF">2026-07-16T01:08:11Z</dcterms:modified>
</cp:coreProperties>
</file>

<file path=docProps/custom.xml><?xml version="1.0" encoding="utf-8"?>
<Properties xmlns="http://schemas.openxmlformats.org/officeDocument/2006/custom-properties" xmlns:vt="http://schemas.openxmlformats.org/officeDocument/2006/docPropsVTypes"/>
</file>