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e11629626dc72cba0a2eef3f8c34471b92d1234"/>
    <w:p>
      <w:pPr>
        <w:pStyle w:val="Heading1"/>
      </w:pPr>
      <w:r>
        <w:t xml:space="preserve">GE Aerospace (NYSE: GE) — 2Q26 Earnings Preview</w:t>
      </w:r>
    </w:p>
    <w:p>
      <w:pPr>
        <w:pStyle w:val="BlockText"/>
      </w:pPr>
      <w:r>
        <w:rPr>
          <w:b/>
          <w:bCs/>
        </w:rPr>
        <w:t xml:space="preserve">Timing note:</w:t>
      </w:r>
      <w:r>
        <w:t xml:space="preserve"> </w:t>
      </w:r>
      <w:r>
        <w:t xml:space="preserve">The stated event date is</w:t>
      </w:r>
      <w:r>
        <w:t xml:space="preserve"> </w:t>
      </w:r>
      <w:r>
        <w:rPr>
          <w:b/>
          <w:bCs/>
        </w:rPr>
        <w:t xml:space="preserve">Thursday, July 16, 2026</w:t>
      </w:r>
      <w:r>
        <w:t xml:space="preserve">, which is</w:t>
      </w:r>
      <w:r>
        <w:t xml:space="preserve"> </w:t>
      </w:r>
      <w:r>
        <w:rPr>
          <w:b/>
          <w:bCs/>
        </w:rPr>
        <w:t xml:space="preserve">today</w:t>
      </w:r>
      <w:r>
        <w:t xml:space="preserve">, not tomorrow. GE Aerospace is scheduled to report</w:t>
      </w:r>
      <w:r>
        <w:t xml:space="preserve"> </w:t>
      </w:r>
      <w:r>
        <w:rPr>
          <w:b/>
          <w:bCs/>
        </w:rPr>
        <w:t xml:space="preserve">before the U.S. market opens</w:t>
      </w:r>
      <w:r>
        <w:t xml:space="preserve">, followed by its earnings call.</w:t>
      </w:r>
    </w:p>
    <w:bookmarkStart w:id="9" w:name="Xf98a5b7cae30a0d1b75eac089ea3deec17bfde9"/>
    <w:p>
      <w:pPr>
        <w:pStyle w:val="Heading2"/>
      </w:pPr>
      <w:r>
        <w:t xml:space="preserve">Investment view: the quarter is likely solid; the real debate is the durability of the guide</w:t>
      </w:r>
    </w:p>
    <w:p>
      <w:pPr>
        <w:pStyle w:val="FirstParagraph"/>
      </w:pPr>
      <w:r>
        <w:t xml:space="preserve">GE enters 2Q with operating momentum that appears stronger than its formally maintained full-year outlook. Management’s first-quarter commentary and subsequent conference appearances pointed to continued robust aftermarket demand, improved supply-chain throughput, and strong visibility into second-quarter shop visits and spare-parts sales.</w:t>
      </w:r>
    </w:p>
    <w:p>
      <w:pPr>
        <w:pStyle w:val="BodyText"/>
      </w:pPr>
      <w:r>
        <w:t xml:space="preserve">The central issue for investors is therefore less likely to be whether GE can meet the near-term numbers, and more likely to be:</w:t>
      </w:r>
    </w:p>
    <w:p>
      <w:pPr>
        <w:pStyle w:val="Compact"/>
        <w:numPr>
          <w:ilvl w:val="0"/>
          <w:numId w:val="1001"/>
        </w:numPr>
      </w:pPr>
      <w:r>
        <w:rPr>
          <w:b/>
          <w:bCs/>
        </w:rPr>
        <w:t xml:space="preserve">Does GE formally lift—or at least more explicitly lean toward—the high end of 2026 guidance?</w:t>
      </w:r>
    </w:p>
    <w:p>
      <w:pPr>
        <w:pStyle w:val="Compact"/>
        <w:numPr>
          <w:ilvl w:val="0"/>
          <w:numId w:val="1001"/>
        </w:numPr>
      </w:pPr>
      <w:r>
        <w:rPr>
          <w:b/>
          <w:bCs/>
        </w:rPr>
        <w:t xml:space="preserve">How much conservatism remains embedded in its second-half outlook amid elevated fuel prices and Middle East disruption?</w:t>
      </w:r>
    </w:p>
    <w:p>
      <w:pPr>
        <w:pStyle w:val="Compact"/>
        <w:numPr>
          <w:ilvl w:val="0"/>
          <w:numId w:val="1001"/>
        </w:numPr>
      </w:pPr>
      <w:r>
        <w:rPr>
          <w:b/>
          <w:bCs/>
        </w:rPr>
        <w:t xml:space="preserve">Can supply-chain progress continue fast enough to convert substantial demand and backlog into revenue, profit, and cash?</w:t>
      </w:r>
    </w:p>
    <w:p>
      <w:pPr>
        <w:pStyle w:val="Compact"/>
        <w:numPr>
          <w:ilvl w:val="0"/>
          <w:numId w:val="1001"/>
        </w:numPr>
      </w:pPr>
      <w:r>
        <w:rPr>
          <w:b/>
          <w:bCs/>
        </w:rPr>
        <w:t xml:space="preserve">Will the company reaffirm its attractive 2027 commercial-services growth outlook?</w:t>
      </w:r>
    </w:p>
    <w:p>
      <w:pPr>
        <w:pStyle w:val="FirstParagraph"/>
      </w:pPr>
      <w:r>
        <w:t xml:space="preserve">Street expectations are for approximately</w:t>
      </w:r>
      <w:r>
        <w:t xml:space="preserve"> </w:t>
      </w:r>
      <m:oMath>
        <m:r>
          <m:t>11.8</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rPr>
            <m:sty m:val="p"/>
          </m:rPr>
          <m:t>*</m:t>
        </m:r>
        <m:r>
          <m:rPr>
            <m:sty m:val="p"/>
          </m:rPr>
          <m:t>*</m:t>
        </m:r>
        <m:r>
          <m:t> </m:t>
        </m:r>
        <m:r>
          <m:t>22</m:t>
        </m:r>
      </m:oMath>
      <w:r>
        <w:rPr>
          <w:b/>
          <w:bCs/>
        </w:rPr>
        <w:t xml:space="preserve">1.86 of EPS</w:t>
      </w:r>
      <w:r>
        <w:t xml:space="preserve">. Those figures set a relatively high near-term bar, but GE’s own updates suggest the market will focus more heavily on guidance and the quality of the aftermarket outlook than on a modest EPS beat or miss.</w:t>
      </w:r>
    </w:p>
    <w:bookmarkEnd w:id="9"/>
    <w:bookmarkStart w:id="10" w:name="X399f875e25ba301bdbbad9b32bbc3d8063b786d"/>
    <w:p>
      <w:pPr>
        <w:pStyle w:val="Heading2"/>
      </w:pPr>
      <w:r>
        <w:t xml:space="preserve">What management has already told investors</w:t>
      </w:r>
    </w:p>
    <w:p>
      <w:pPr>
        <w:pStyle w:val="FirstParagraph"/>
      </w:pPr>
      <w:r>
        <w:t xml:space="preserve">GE’s 1Q26 result was strong: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metric</w:t>
            </w:r>
          </w:p>
        </w:tc>
        <w:tc>
          <w:tcPr/>
          <w:p>
            <w:pPr>
              <w:pStyle w:val="Compact"/>
              <w:jc w:val="right"/>
            </w:pPr>
            <w:r>
              <w:t xml:space="preserve">Result</w:t>
            </w:r>
          </w:p>
        </w:tc>
        <w:tc>
          <w:tcPr/>
          <w:p>
            <w:pPr>
              <w:pStyle w:val="Compact"/>
              <w:jc w:val="right"/>
            </w:pPr>
            <w:r>
              <w:t xml:space="preserve">YoY change</w:t>
            </w:r>
          </w:p>
        </w:tc>
      </w:tr>
      <w:tr>
        <w:tc>
          <w:tcPr/>
          <w:p>
            <w:pPr>
              <w:pStyle w:val="Compact"/>
            </w:pPr>
            <w:r>
              <w:t xml:space="preserve">Adjusted revenue</w:t>
            </w:r>
          </w:p>
        </w:tc>
        <w:tc>
          <w:tcPr/>
          <w:p>
            <w:pPr>
              <w:pStyle w:val="Compact"/>
              <w:jc w:val="right"/>
            </w:pPr>
            <w:r>
              <w:t xml:space="preserve">$11.6B</w:t>
            </w:r>
          </w:p>
        </w:tc>
        <w:tc>
          <w:tcPr/>
          <w:p>
            <w:pPr>
              <w:pStyle w:val="Compact"/>
              <w:jc w:val="right"/>
            </w:pPr>
            <w:r>
              <w:t xml:space="preserve">+29%</w:t>
            </w:r>
          </w:p>
        </w:tc>
      </w:tr>
      <w:tr>
        <w:tc>
          <w:tcPr/>
          <w:p>
            <w:pPr>
              <w:pStyle w:val="Compact"/>
            </w:pPr>
            <w:r>
              <w:t xml:space="preserve">Operating profit</w:t>
            </w:r>
          </w:p>
        </w:tc>
        <w:tc>
          <w:tcPr/>
          <w:p>
            <w:pPr>
              <w:pStyle w:val="Compact"/>
              <w:jc w:val="right"/>
            </w:pPr>
            <w:r>
              <w:t xml:space="preserve">$2.53B</w:t>
            </w:r>
          </w:p>
        </w:tc>
        <w:tc>
          <w:tcPr/>
          <w:p>
            <w:pPr>
              <w:pStyle w:val="Compact"/>
              <w:jc w:val="right"/>
            </w:pPr>
            <w:r>
              <w:t xml:space="preserve">+18%</w:t>
            </w:r>
          </w:p>
        </w:tc>
      </w:tr>
      <w:tr>
        <w:tc>
          <w:tcPr/>
          <w:p>
            <w:pPr>
              <w:pStyle w:val="Compact"/>
            </w:pPr>
            <w:r>
              <w:t xml:space="preserve">Operating margin</w:t>
            </w:r>
          </w:p>
        </w:tc>
        <w:tc>
          <w:tcPr/>
          <w:p>
            <w:pPr>
              <w:pStyle w:val="Compact"/>
              <w:jc w:val="right"/>
            </w:pPr>
            <w:r>
              <w:t xml:space="preserve">21.8%</w:t>
            </w:r>
          </w:p>
        </w:tc>
        <w:tc>
          <w:tcPr/>
          <w:p>
            <w:pPr>
              <w:pStyle w:val="Compact"/>
              <w:jc w:val="right"/>
            </w:pPr>
            <w:r>
              <w:t xml:space="preserve">-200 bps</w:t>
            </w:r>
          </w:p>
        </w:tc>
      </w:tr>
      <w:tr>
        <w:tc>
          <w:tcPr/>
          <w:p>
            <w:pPr>
              <w:pStyle w:val="Compact"/>
            </w:pPr>
            <w:r>
              <w:t xml:space="preserve">Adjusted EPS</w:t>
            </w:r>
          </w:p>
        </w:tc>
        <w:tc>
          <w:tcPr/>
          <w:p>
            <w:pPr>
              <w:pStyle w:val="Compact"/>
              <w:jc w:val="right"/>
            </w:pPr>
            <w:r>
              <w:t xml:space="preserve">$1.86</w:t>
            </w:r>
          </w:p>
        </w:tc>
        <w:tc>
          <w:tcPr/>
          <w:p>
            <w:pPr>
              <w:pStyle w:val="Compact"/>
              <w:jc w:val="right"/>
            </w:pPr>
            <w:r>
              <w:t xml:space="preserve">+25%</w:t>
            </w:r>
          </w:p>
        </w:tc>
      </w:tr>
      <w:tr>
        <w:tc>
          <w:tcPr/>
          <w:p>
            <w:pPr>
              <w:pStyle w:val="Compact"/>
            </w:pPr>
            <w:r>
              <w:t xml:space="preserve">Free cash flow</w:t>
            </w:r>
          </w:p>
        </w:tc>
        <w:tc>
          <w:tcPr/>
          <w:p>
            <w:pPr>
              <w:pStyle w:val="Compact"/>
              <w:jc w:val="right"/>
            </w:pPr>
            <w:r>
              <w:t xml:space="preserve">$1.66B</w:t>
            </w:r>
          </w:p>
        </w:tc>
        <w:tc>
          <w:tcPr/>
          <w:p>
            <w:pPr>
              <w:pStyle w:val="Compact"/>
              <w:jc w:val="right"/>
            </w:pPr>
            <w:r>
              <w:t xml:space="preserve">+14%</w:t>
            </w:r>
          </w:p>
        </w:tc>
      </w:tr>
      <w:tr>
        <w:tc>
          <w:tcPr/>
          <w:p>
            <w:pPr>
              <w:pStyle w:val="Compact"/>
            </w:pPr>
            <w:r>
              <w:t xml:space="preserve">CES revenue</w:t>
            </w:r>
          </w:p>
        </w:tc>
        <w:tc>
          <w:tcPr/>
          <w:p>
            <w:pPr>
              <w:pStyle w:val="Compact"/>
              <w:jc w:val="right"/>
            </w:pPr>
            <w:r>
              <w:t xml:space="preserve">$8.92B</w:t>
            </w:r>
          </w:p>
        </w:tc>
        <w:tc>
          <w:tcPr/>
          <w:p>
            <w:pPr>
              <w:pStyle w:val="Compact"/>
              <w:jc w:val="right"/>
            </w:pPr>
            <w:r>
              <w:t xml:space="preserve">+34%</w:t>
            </w:r>
          </w:p>
        </w:tc>
      </w:tr>
      <w:tr>
        <w:tc>
          <w:tcPr/>
          <w:p>
            <w:pPr>
              <w:pStyle w:val="Compact"/>
            </w:pPr>
            <w:r>
              <w:t xml:space="preserve">DPT revenue</w:t>
            </w:r>
          </w:p>
        </w:tc>
        <w:tc>
          <w:tcPr/>
          <w:p>
            <w:pPr>
              <w:pStyle w:val="Compact"/>
              <w:jc w:val="right"/>
            </w:pPr>
            <w:r>
              <w:t xml:space="preserve">$3.21B</w:t>
            </w:r>
          </w:p>
        </w:tc>
        <w:tc>
          <w:tcPr/>
          <w:p>
            <w:pPr>
              <w:pStyle w:val="Compact"/>
              <w:jc w:val="right"/>
            </w:pPr>
            <w:r>
              <w:t xml:space="preserve">+19%</w:t>
            </w:r>
          </w:p>
        </w:tc>
      </w:tr>
    </w:tbl>
    <w:p>
      <w:pPr>
        <w:pStyle w:val="BodyText"/>
      </w:pPr>
      <w:r>
        <w:t xml:space="preserve">The mix was important.</w:t>
      </w:r>
      <w:r>
        <w:t xml:space="preserve"> </w:t>
      </w:r>
      <w:r>
        <w:rPr>
          <w:b/>
          <w:bCs/>
        </w:rPr>
        <w:t xml:space="preserve">Commercial Engines &amp; Services (CES)</w:t>
      </w:r>
      <w:r>
        <w:t xml:space="preserve"> </w:t>
      </w:r>
      <w:r>
        <w:t xml:space="preserve">produced 39% services growth, while total engine deliveries increased 43%. This translated into substantial profit growth, though margin declined because OE delivery growth—particularly LEAP and GE9X—carries lower near-term profitability than mature aftermarket revenue.</w:t>
      </w:r>
    </w:p>
    <w:p>
      <w:pPr>
        <w:pStyle w:val="BodyText"/>
      </w:pPr>
      <w:r>
        <w:t xml:space="preserve">GE maintained its 2026 outlook in April but said it was</w:t>
      </w:r>
      <w:r>
        <w:t xml:space="preserve"> </w:t>
      </w:r>
      <w:r>
        <w:rPr>
          <w:b/>
          <w:bCs/>
        </w:rPr>
        <w:t xml:space="preserve">trending toward the high end</w:t>
      </w:r>
      <w:r>
        <w:t xml:space="preserve">:</w:t>
      </w:r>
    </w:p>
    <w:p>
      <w:pPr>
        <w:pStyle w:val="Compact"/>
        <w:numPr>
          <w:ilvl w:val="0"/>
          <w:numId w:val="1002"/>
        </w:numPr>
      </w:pPr>
      <w:r>
        <w:rPr>
          <w:b/>
          <w:bCs/>
        </w:rPr>
        <w:t xml:space="preserve">Adjusted-revenue growth:</w:t>
      </w:r>
      <w:r>
        <w:t xml:space="preserve"> </w:t>
      </w:r>
      <w:r>
        <w:t xml:space="preserve">low double digits</w:t>
      </w:r>
    </w:p>
    <w:p>
      <w:pPr>
        <w:pStyle w:val="Compact"/>
        <w:numPr>
          <w:ilvl w:val="0"/>
          <w:numId w:val="1002"/>
        </w:numPr>
      </w:pPr>
      <w:r>
        <w:rPr>
          <w:b/>
          <w:bCs/>
        </w:rPr>
        <w:t xml:space="preserve">Operating profit:</w:t>
      </w:r>
      <w:r>
        <w:t xml:space="preserve"> </w:t>
      </w:r>
      <m:oMath>
        <m:r>
          <m:t>9.85</m:t>
        </m:r>
        <m:r>
          <m:t>B</m:t>
        </m:r>
        <m:r>
          <m:rPr>
            <m:sty m:val="p"/>
          </m:rPr>
          <m:t>–</m:t>
        </m:r>
      </m:oMath>
      <w:r>
        <w:rPr>
          <w:b/>
          <w:bCs/>
        </w:rPr>
        <w:t xml:space="preserve">10.25B</w:t>
      </w:r>
    </w:p>
    <w:p>
      <w:pPr>
        <w:pStyle w:val="Compact"/>
        <w:numPr>
          <w:ilvl w:val="0"/>
          <w:numId w:val="1002"/>
        </w:numPr>
      </w:pPr>
      <w:r>
        <w:rPr>
          <w:b/>
          <w:bCs/>
        </w:rPr>
        <w:t xml:space="preserve">Adjusted EPS:</w:t>
      </w:r>
      <w:r>
        <w:t xml:space="preserve"> </w:t>
      </w:r>
      <m:oMath>
        <m:r>
          <m:t>7.10</m:t>
        </m:r>
        <m:r>
          <m:rPr>
            <m:sty m:val="p"/>
          </m:rPr>
          <m:t>–</m:t>
        </m:r>
      </m:oMath>
      <w:r>
        <w:rPr>
          <w:b/>
          <w:bCs/>
        </w:rPr>
        <w:t xml:space="preserve">7.40</w:t>
      </w:r>
    </w:p>
    <w:p>
      <w:pPr>
        <w:pStyle w:val="Compact"/>
        <w:numPr>
          <w:ilvl w:val="0"/>
          <w:numId w:val="1002"/>
        </w:numPr>
      </w:pPr>
      <w:r>
        <w:rPr>
          <w:b/>
          <w:bCs/>
        </w:rPr>
        <w:t xml:space="preserve">Free cash flow:</w:t>
      </w:r>
      <w:r>
        <w:t xml:space="preserve"> </w:t>
      </w:r>
      <m:oMath>
        <m:r>
          <m:t>8.0</m:t>
        </m:r>
        <m:r>
          <m:t>B</m:t>
        </m:r>
        <m:r>
          <m:rPr>
            <m:sty m:val="p"/>
          </m:rPr>
          <m:t>–</m:t>
        </m:r>
      </m:oMath>
      <w:r>
        <w:rPr>
          <w:b/>
          <w:bCs/>
        </w:rPr>
        <w:t xml:space="preserve">8.4B</w:t>
      </w:r>
    </w:p>
    <w:p>
      <w:pPr>
        <w:pStyle w:val="Compact"/>
        <w:numPr>
          <w:ilvl w:val="0"/>
          <w:numId w:val="1002"/>
        </w:numPr>
      </w:pPr>
      <w:r>
        <w:rPr>
          <w:b/>
          <w:bCs/>
        </w:rPr>
        <w:t xml:space="preserve">CES operating profit:</w:t>
      </w:r>
      <w:r>
        <w:t xml:space="preserve"> </w:t>
      </w:r>
      <m:oMath>
        <m:r>
          <m:t>9.6</m:t>
        </m:r>
        <m:r>
          <m:t>B</m:t>
        </m:r>
        <m:r>
          <m:rPr>
            <m:sty m:val="p"/>
          </m:rPr>
          <m:t>–</m:t>
        </m:r>
      </m:oMath>
      <w:r>
        <w:rPr>
          <w:b/>
          <w:bCs/>
        </w:rPr>
        <w:t xml:space="preserve">9.9B</w:t>
      </w:r>
    </w:p>
    <w:p>
      <w:pPr>
        <w:pStyle w:val="Compact"/>
        <w:numPr>
          <w:ilvl w:val="0"/>
          <w:numId w:val="1002"/>
        </w:numPr>
      </w:pPr>
      <w:r>
        <w:rPr>
          <w:b/>
          <w:bCs/>
        </w:rPr>
        <w:t xml:space="preserve">DPT operating profit:</w:t>
      </w:r>
      <w:r>
        <w:t xml:space="preserve"> </w:t>
      </w:r>
      <m:oMath>
        <m:r>
          <m:t>1.55</m:t>
        </m:r>
        <m:r>
          <m:t>B</m:t>
        </m:r>
        <m:r>
          <m:rPr>
            <m:sty m:val="p"/>
          </m:rPr>
          <m:t>–</m:t>
        </m:r>
      </m:oMath>
      <w:r>
        <w:rPr>
          <w:b/>
          <w:bCs/>
        </w:rPr>
        <w:t xml:space="preserve">1.65B</w:t>
      </w:r>
    </w:p>
    <w:p>
      <w:pPr>
        <w:pStyle w:val="FirstParagraph"/>
      </w:pPr>
      <w:r>
        <w:t xml:space="preserve">At the time, management indicated that, absent geopolitical uncertainty, it likely would have raised guidance. It instead retained the range because of the potential effect of higher fuel prices, reduced departures, and the uncertain duration of Middle East disruption.</w:t>
      </w:r>
    </w:p>
    <w:bookmarkEnd w:id="10"/>
    <w:bookmarkStart w:id="14" w:name="why-2q-should-be-strong"/>
    <w:p>
      <w:pPr>
        <w:pStyle w:val="Heading2"/>
      </w:pPr>
      <w:r>
        <w:t xml:space="preserve">Why 2Q should be strong</w:t>
      </w:r>
    </w:p>
    <w:bookmarkStart w:id="11" w:name="Xbdb4f92cefd8a3e57456819a000b779c7b47c00"/>
    <w:p>
      <w:pPr>
        <w:pStyle w:val="Heading3"/>
      </w:pPr>
      <w:r>
        <w:t xml:space="preserve">1. Aftermarket demand remained unusually resilient</w:t>
      </w:r>
    </w:p>
    <w:p>
      <w:pPr>
        <w:pStyle w:val="FirstParagraph"/>
      </w:pPr>
      <w:r>
        <w:t xml:space="preserve">The key proof points from management after the first-quarter release were constructive:</w:t>
      </w:r>
    </w:p>
    <w:p>
      <w:pPr>
        <w:pStyle w:val="Compact"/>
        <w:numPr>
          <w:ilvl w:val="0"/>
          <w:numId w:val="1003"/>
        </w:numPr>
      </w:pPr>
      <w:r>
        <w:t xml:space="preserve">Spare-parts orders grew roughly</w:t>
      </w:r>
      <w:r>
        <w:t xml:space="preserve"> </w:t>
      </w:r>
      <w:r>
        <w:rPr>
          <w:b/>
          <w:bCs/>
        </w:rPr>
        <w:t xml:space="preserve">30% in 1Q</w:t>
      </w:r>
      <w:r>
        <w:t xml:space="preserve">, then accelerated to approximately</w:t>
      </w:r>
      <w:r>
        <w:t xml:space="preserve"> </w:t>
      </w:r>
      <w:r>
        <w:rPr>
          <w:b/>
          <w:bCs/>
        </w:rPr>
        <w:t xml:space="preserve">40% year over year</w:t>
      </w:r>
      <w:r>
        <w:t xml:space="preserve"> </w:t>
      </w:r>
      <w:r>
        <w:t xml:space="preserve">in the ensuing period.</w:t>
      </w:r>
    </w:p>
    <w:p>
      <w:pPr>
        <w:pStyle w:val="Compact"/>
        <w:numPr>
          <w:ilvl w:val="0"/>
          <w:numId w:val="1003"/>
        </w:numPr>
      </w:pPr>
      <w:r>
        <w:t xml:space="preserve">Engine removals—an early indicator of future maintenance-shop activity—continued to increase.</w:t>
      </w:r>
    </w:p>
    <w:p>
      <w:pPr>
        <w:pStyle w:val="Compact"/>
        <w:numPr>
          <w:ilvl w:val="0"/>
          <w:numId w:val="1003"/>
        </w:numPr>
      </w:pPr>
      <w:r>
        <w:t xml:space="preserve">Parked aircraft declined, reducing concern around a near-term surge in retirements.</w:t>
      </w:r>
    </w:p>
    <w:p>
      <w:pPr>
        <w:pStyle w:val="Compact"/>
        <w:numPr>
          <w:ilvl w:val="0"/>
          <w:numId w:val="1003"/>
        </w:numPr>
      </w:pPr>
      <w:r>
        <w:t xml:space="preserve">GE said its shop-visit pipeline and spare-parts backlog gave it unusually strong 2Q visibility.</w:t>
      </w:r>
    </w:p>
    <w:p>
      <w:pPr>
        <w:pStyle w:val="FirstParagraph"/>
      </w:pPr>
      <w:r>
        <w:t xml:space="preserve">This matters because the aftermarket is GE’s core earnings engine: services account for roughly 70% of company revenue, and commercial-services backlog was approximately</w:t>
      </w:r>
      <w:r>
        <w:t xml:space="preserve"> </w:t>
      </w:r>
      <w:r>
        <w:rPr>
          <w:b/>
          <w:bCs/>
        </w:rPr>
        <w:t xml:space="preserve">$170 billion</w:t>
      </w:r>
      <w:r>
        <w:t xml:space="preserve"> </w:t>
      </w:r>
      <w:r>
        <w:t xml:space="preserve">at the end of 1Q. The backlog provides a meaningful buffer against a short-lived air-traffic slowdown, though it does not eliminate longer-cycle risk if airline economics weaken materially.</w:t>
      </w:r>
    </w:p>
    <w:bookmarkEnd w:id="11"/>
    <w:bookmarkStart w:id="12" w:name="Xf0988f398a86f9e6ce09fdcd7dc2367390bf5d7"/>
    <w:p>
      <w:pPr>
        <w:pStyle w:val="Heading3"/>
      </w:pPr>
      <w:r>
        <w:t xml:space="preserve">2. Supply-chain execution is improving—and is the largest self-help lever</w:t>
      </w:r>
    </w:p>
    <w:p>
      <w:pPr>
        <w:pStyle w:val="FirstParagraph"/>
      </w:pPr>
      <w:r>
        <w:t xml:space="preserve">GE has now delivered multiple quarters of improving supplier inputs, translating into materially higher engine, spare-part, and shop-visit output. The company’s operating system,</w:t>
      </w:r>
      <w:r>
        <w:t xml:space="preserve"> </w:t>
      </w:r>
      <w:r>
        <w:rPr>
          <w:b/>
          <w:bCs/>
        </w:rPr>
        <w:t xml:space="preserve">FLIGHT DECK</w:t>
      </w:r>
      <w:r>
        <w:t xml:space="preserve">, has been central to its effort to improve throughput with both internal sites and critical suppliers.</w:t>
      </w:r>
    </w:p>
    <w:p>
      <w:pPr>
        <w:pStyle w:val="BodyText"/>
      </w:pPr>
      <w:r>
        <w:t xml:space="preserve">The opportunity is substantial: demand still exceeds supply, as demonstrated by elevated spare-parts delinquency. That is bad for customer service in the short run, but it is also evidence that GE has room to grow revenue as supply constraints ease.</w:t>
      </w:r>
    </w:p>
    <w:p>
      <w:pPr>
        <w:pStyle w:val="BodyText"/>
      </w:pPr>
      <w:r>
        <w:t xml:space="preserve">For 2Q, investors should listen for:</w:t>
      </w:r>
    </w:p>
    <w:p>
      <w:pPr>
        <w:pStyle w:val="Compact"/>
        <w:numPr>
          <w:ilvl w:val="0"/>
          <w:numId w:val="1004"/>
        </w:numPr>
      </w:pPr>
      <w:r>
        <w:t xml:space="preserve">Sequential improvement in material availability;</w:t>
      </w:r>
    </w:p>
    <w:p>
      <w:pPr>
        <w:pStyle w:val="Compact"/>
        <w:numPr>
          <w:ilvl w:val="0"/>
          <w:numId w:val="1004"/>
        </w:numPr>
      </w:pPr>
      <w:r>
        <w:t xml:space="preserve">LEAP, GEnx, and GE9X delivery progress;</w:t>
      </w:r>
    </w:p>
    <w:p>
      <w:pPr>
        <w:pStyle w:val="Compact"/>
        <w:numPr>
          <w:ilvl w:val="0"/>
          <w:numId w:val="1004"/>
        </w:numPr>
      </w:pPr>
      <w:r>
        <w:t xml:space="preserve">Shop-visit turnaround-time trends;</w:t>
      </w:r>
    </w:p>
    <w:p>
      <w:pPr>
        <w:pStyle w:val="Compact"/>
        <w:numPr>
          <w:ilvl w:val="0"/>
          <w:numId w:val="1004"/>
        </w:numPr>
      </w:pPr>
      <w:r>
        <w:t xml:space="preserve">Whether spare-parts delinquency has peaked or remains elevated;</w:t>
      </w:r>
    </w:p>
    <w:p>
      <w:pPr>
        <w:pStyle w:val="Compact"/>
        <w:numPr>
          <w:ilvl w:val="0"/>
          <w:numId w:val="1004"/>
        </w:numPr>
      </w:pPr>
      <w:r>
        <w:t xml:space="preserve">Any supplier-specific bottlenecks that could limit second-half OE or aftermarket output.</w:t>
      </w:r>
    </w:p>
    <w:bookmarkEnd w:id="12"/>
    <w:bookmarkStart w:id="13" w:name="X549dac10940abd8e25c0c2d3f852c7b3794cb89"/>
    <w:p>
      <w:pPr>
        <w:pStyle w:val="Heading3"/>
      </w:pPr>
      <w:r>
        <w:t xml:space="preserve">3. Defense provides a second growth leg</w:t>
      </w:r>
    </w:p>
    <w:p>
      <w:pPr>
        <w:pStyle w:val="FirstParagraph"/>
      </w:pPr>
      <w:r>
        <w:rPr>
          <w:b/>
          <w:bCs/>
        </w:rPr>
        <w:t xml:space="preserve">Defense &amp; Propulsion Technologies (DPT)</w:t>
      </w:r>
      <w:r>
        <w:t xml:space="preserve"> </w:t>
      </w:r>
      <w:r>
        <w:t xml:space="preserve">is not the primary valuation driver, but it is an increasingly meaningful contributor. First-quarter DPT revenue rose 19%, with deliveries up 24%, while defense book-to-bill exceeded 2x for the second consecutive quarter.</w:t>
      </w:r>
    </w:p>
    <w:p>
      <w:pPr>
        <w:pStyle w:val="BodyText"/>
      </w:pPr>
      <w:r>
        <w:t xml:space="preserve">The near-term backdrop appears supportive: global defense demand, utilization of GE-powered platforms, and allied procurement programs all point to sustained demand. The major question is whether management can translate that order strength into a more explicit acceleration in 2027 profit and revenue expectations.</w:t>
      </w:r>
    </w:p>
    <w:bookmarkEnd w:id="13"/>
    <w:bookmarkEnd w:id="14"/>
    <w:bookmarkStart w:id="15" w:name="X3900a976ff37bda547df3bafc988afe870159f8"/>
    <w:p>
      <w:pPr>
        <w:pStyle w:val="Heading2"/>
      </w:pPr>
      <w:r>
        <w:t xml:space="preserve">The main risk: guidance could remain conservative—or become more cautious</w:t>
      </w:r>
    </w:p>
    <w:p>
      <w:pPr>
        <w:pStyle w:val="FirstParagraph"/>
      </w:pPr>
      <w:r>
        <w:t xml:space="preserve">GE’s 2026 guide currently assumes</w:t>
      </w:r>
      <w:r>
        <w:t xml:space="preserve"> </w:t>
      </w:r>
      <w:r>
        <w:rPr>
          <w:b/>
          <w:bCs/>
        </w:rPr>
        <w:t xml:space="preserve">flat to low-single-digit departure growth</w:t>
      </w:r>
      <w:r>
        <w:t xml:space="preserve">, elevated Brent crude through 3Q, and no global recession. That is already a cautious framework relative to the underlying strength the company described in May and June.</w:t>
      </w:r>
    </w:p>
    <w:p>
      <w:pPr>
        <w:pStyle w:val="BodyText"/>
      </w:pPr>
      <w:r>
        <w:t xml:space="preserve">However, geopolitical conditions worsened again in early July, driving renewed concern around oil, jet-fuel availability, airline profitability, and flying schedules. That makes the earnings call especially important. Investors will want management to distinguish between:</w:t>
      </w:r>
    </w:p>
    <w:p>
      <w:pPr>
        <w:pStyle w:val="Compact"/>
        <w:numPr>
          <w:ilvl w:val="0"/>
          <w:numId w:val="1005"/>
        </w:numPr>
      </w:pPr>
      <w:r>
        <w:rPr>
          <w:b/>
          <w:bCs/>
        </w:rPr>
        <w:t xml:space="preserve">Observed behavior:</w:t>
      </w:r>
      <w:r>
        <w:t xml:space="preserve"> </w:t>
      </w:r>
      <w:r>
        <w:t xml:space="preserve">spare-parts orders, engine removals, retirements, shop-visit inductions, payment behavior, and cancellations; and</w:t>
      </w:r>
    </w:p>
    <w:p>
      <w:pPr>
        <w:pStyle w:val="Compact"/>
        <w:numPr>
          <w:ilvl w:val="0"/>
          <w:numId w:val="1005"/>
        </w:numPr>
      </w:pPr>
      <w:r>
        <w:rPr>
          <w:b/>
          <w:bCs/>
        </w:rPr>
        <w:t xml:space="preserve">Scenario planning:</w:t>
      </w:r>
      <w:r>
        <w:t xml:space="preserve"> </w:t>
      </w:r>
      <w:r>
        <w:t xml:space="preserve">what GE is prudently assuming if elevated fuel costs and traffic disruption persist.</w:t>
      </w:r>
    </w:p>
    <w:p>
      <w:pPr>
        <w:pStyle w:val="FirstParagraph"/>
      </w:pPr>
      <w:r>
        <w:t xml:space="preserve">A key point from GE’s past commentary is that aftermarket effects tend to</w:t>
      </w:r>
      <w:r>
        <w:t xml:space="preserve"> </w:t>
      </w:r>
      <w:r>
        <w:rPr>
          <w:b/>
          <w:bCs/>
        </w:rPr>
        <w:t xml:space="preserve">lag changes in departures</w:t>
      </w:r>
      <w:r>
        <w:t xml:space="preserve">. Consequently, a good 2Q and maintained 2026 outlook would not necessarily settle the question of 2027 demand. Conversely, the company has emphasized that a delay in maintenance activity is more likely to be a</w:t>
      </w:r>
      <w:r>
        <w:t xml:space="preserve"> </w:t>
      </w:r>
      <w:r>
        <w:rPr>
          <w:b/>
          <w:bCs/>
        </w:rPr>
        <w:t xml:space="preserve">pushout of demand</w:t>
      </w:r>
      <w:r>
        <w:t xml:space="preserve"> </w:t>
      </w:r>
      <w:r>
        <w:t xml:space="preserve">than permanent demand destruction, given tight aircraft availability and the essential nature of engine maintenance.</w:t>
      </w:r>
    </w:p>
    <w:bookmarkEnd w:id="15"/>
    <w:bookmarkStart w:id="18" w:name="segment-scorecard"/>
    <w:p>
      <w:pPr>
        <w:pStyle w:val="Heading2"/>
      </w:pPr>
      <w:r>
        <w:t xml:space="preserve">Segment scorecard</w:t>
      </w:r>
    </w:p>
    <w:bookmarkStart w:id="16" w:name="X5ec2b6b0fa32c43f2524a439de9c9ff8bca9141"/>
    <w:p>
      <w:pPr>
        <w:pStyle w:val="Heading3"/>
      </w:pPr>
      <w:r>
        <w:t xml:space="preserve">Commercial Engines &amp; Services: the decisive segment</w:t>
      </w:r>
    </w:p>
    <w:p>
      <w:pPr>
        <w:pStyle w:val="FirstParagraph"/>
      </w:pPr>
      <w:r>
        <w:rPr>
          <w:b/>
          <w:bCs/>
        </w:rPr>
        <w:t xml:space="preserve">What should go right</w:t>
      </w:r>
    </w:p>
    <w:p>
      <w:pPr>
        <w:pStyle w:val="Compact"/>
        <w:numPr>
          <w:ilvl w:val="0"/>
          <w:numId w:val="1006"/>
        </w:numPr>
      </w:pPr>
      <w:r>
        <w:t xml:space="preserve">Mid-to-high-teens or better services growth;</w:t>
      </w:r>
    </w:p>
    <w:p>
      <w:pPr>
        <w:pStyle w:val="Compact"/>
        <w:numPr>
          <w:ilvl w:val="0"/>
          <w:numId w:val="1006"/>
        </w:numPr>
      </w:pPr>
      <w:r>
        <w:t xml:space="preserve">Continued strong spare-parts sales;</w:t>
      </w:r>
    </w:p>
    <w:p>
      <w:pPr>
        <w:pStyle w:val="Compact"/>
        <w:numPr>
          <w:ilvl w:val="0"/>
          <w:numId w:val="1006"/>
        </w:numPr>
      </w:pPr>
      <w:r>
        <w:t xml:space="preserve">High shop-visit throughput;</w:t>
      </w:r>
    </w:p>
    <w:p>
      <w:pPr>
        <w:pStyle w:val="Compact"/>
        <w:numPr>
          <w:ilvl w:val="0"/>
          <w:numId w:val="1006"/>
        </w:numPr>
      </w:pPr>
      <w:r>
        <w:t xml:space="preserve">Further LEAP and GEnx OE delivery gains;</w:t>
      </w:r>
    </w:p>
    <w:p>
      <w:pPr>
        <w:pStyle w:val="Compact"/>
        <w:numPr>
          <w:ilvl w:val="0"/>
          <w:numId w:val="1006"/>
        </w:numPr>
      </w:pPr>
      <w:r>
        <w:t xml:space="preserve">Positive services-margin progression.</w:t>
      </w:r>
    </w:p>
    <w:p>
      <w:pPr>
        <w:pStyle w:val="FirstParagraph"/>
      </w:pPr>
      <w:r>
        <w:rPr>
          <w:b/>
          <w:bCs/>
        </w:rPr>
        <w:t xml:space="preserve">What could disappoint</w:t>
      </w:r>
    </w:p>
    <w:p>
      <w:pPr>
        <w:pStyle w:val="Compact"/>
        <w:numPr>
          <w:ilvl w:val="0"/>
          <w:numId w:val="1007"/>
        </w:numPr>
      </w:pPr>
      <w:r>
        <w:t xml:space="preserve">A sharp sequential slowdown in spare-parts orders;</w:t>
      </w:r>
    </w:p>
    <w:p>
      <w:pPr>
        <w:pStyle w:val="Compact"/>
        <w:numPr>
          <w:ilvl w:val="0"/>
          <w:numId w:val="1007"/>
        </w:numPr>
      </w:pPr>
      <w:r>
        <w:t xml:space="preserve">Lower work scopes, delayed spare-engine shipments, or customer deferrals;</w:t>
      </w:r>
    </w:p>
    <w:p>
      <w:pPr>
        <w:pStyle w:val="Compact"/>
        <w:numPr>
          <w:ilvl w:val="0"/>
          <w:numId w:val="1007"/>
        </w:numPr>
      </w:pPr>
      <w:r>
        <w:t xml:space="preserve">Persistently high delinquency without corresponding output improvement;</w:t>
      </w:r>
    </w:p>
    <w:p>
      <w:pPr>
        <w:pStyle w:val="Compact"/>
        <w:numPr>
          <w:ilvl w:val="0"/>
          <w:numId w:val="1007"/>
        </w:numPr>
      </w:pPr>
      <w:r>
        <w:t xml:space="preserve">Greater-than-expected OE mix pressure on CES margins;</w:t>
      </w:r>
    </w:p>
    <w:p>
      <w:pPr>
        <w:pStyle w:val="Compact"/>
        <w:numPr>
          <w:ilvl w:val="0"/>
          <w:numId w:val="1007"/>
        </w:numPr>
      </w:pPr>
      <w:r>
        <w:t xml:space="preserve">Incremental GE9X program cost or delivery-timing issues.</w:t>
      </w:r>
    </w:p>
    <w:p>
      <w:pPr>
        <w:pStyle w:val="FirstParagraph"/>
      </w:pPr>
      <w:r>
        <w:t xml:space="preserve">The medium-term prize remains compelling. GE expects LEAP aftermarket profitability to approach overall CES-services profitability around</w:t>
      </w:r>
      <w:r>
        <w:t xml:space="preserve"> </w:t>
      </w:r>
      <w:r>
        <w:rPr>
          <w:b/>
          <w:bCs/>
        </w:rPr>
        <w:t xml:space="preserve">2028</w:t>
      </w:r>
      <w:r>
        <w:t xml:space="preserve">, driven by higher shop-visit volume, increasing repair capability, greater third-party MRO participation, and post-launch pricing realization. That trajectory is a major component of the long-term bull case.</w:t>
      </w:r>
    </w:p>
    <w:bookmarkEnd w:id="16"/>
    <w:bookmarkStart w:id="17" w:name="X2d24c789cd0d23a5c97dd1b5816342ac5ef3844"/>
    <w:p>
      <w:pPr>
        <w:pStyle w:val="Heading3"/>
      </w:pPr>
      <w:r>
        <w:t xml:space="preserve">Defense &amp; Propulsion Technologies: upside optionality</w:t>
      </w:r>
    </w:p>
    <w:p>
      <w:pPr>
        <w:pStyle w:val="FirstParagraph"/>
      </w:pPr>
      <w:r>
        <w:rPr>
          <w:b/>
          <w:bCs/>
        </w:rPr>
        <w:t xml:space="preserve">What should go right</w:t>
      </w:r>
    </w:p>
    <w:p>
      <w:pPr>
        <w:pStyle w:val="Compact"/>
        <w:numPr>
          <w:ilvl w:val="0"/>
          <w:numId w:val="1008"/>
        </w:numPr>
      </w:pPr>
      <w:r>
        <w:t xml:space="preserve">Mid-to-high-single-digit revenue growth remains intact;</w:t>
      </w:r>
    </w:p>
    <w:p>
      <w:pPr>
        <w:pStyle w:val="Compact"/>
        <w:numPr>
          <w:ilvl w:val="0"/>
          <w:numId w:val="1008"/>
        </w:numPr>
      </w:pPr>
      <w:r>
        <w:t xml:space="preserve">Strong order conversion and improved mix lift margins through the year;</w:t>
      </w:r>
    </w:p>
    <w:p>
      <w:pPr>
        <w:pStyle w:val="Compact"/>
        <w:numPr>
          <w:ilvl w:val="0"/>
          <w:numId w:val="1008"/>
        </w:numPr>
      </w:pPr>
      <w:r>
        <w:t xml:space="preserve">More evidence of higher defense sustainment demand;</w:t>
      </w:r>
    </w:p>
    <w:p>
      <w:pPr>
        <w:pStyle w:val="Compact"/>
        <w:numPr>
          <w:ilvl w:val="0"/>
          <w:numId w:val="1008"/>
        </w:numPr>
      </w:pPr>
      <w:r>
        <w:t xml:space="preserve">Additional traction in international fighter, rotorcraft, and unmanned-system applications.</w:t>
      </w:r>
    </w:p>
    <w:p>
      <w:pPr>
        <w:pStyle w:val="FirstParagraph"/>
      </w:pPr>
      <w:r>
        <w:rPr>
          <w:b/>
          <w:bCs/>
        </w:rPr>
        <w:t xml:space="preserve">What could disappoint</w:t>
      </w:r>
    </w:p>
    <w:p>
      <w:pPr>
        <w:pStyle w:val="Compact"/>
        <w:numPr>
          <w:ilvl w:val="0"/>
          <w:numId w:val="1009"/>
        </w:numPr>
      </w:pPr>
      <w:r>
        <w:t xml:space="preserve">Equipment-heavy mix continuing to suppress margins;</w:t>
      </w:r>
    </w:p>
    <w:p>
      <w:pPr>
        <w:pStyle w:val="Compact"/>
        <w:numPr>
          <w:ilvl w:val="0"/>
          <w:numId w:val="1009"/>
        </w:numPr>
      </w:pPr>
      <w:r>
        <w:t xml:space="preserve">Supply constraints limiting delivery conversion;</w:t>
      </w:r>
    </w:p>
    <w:p>
      <w:pPr>
        <w:pStyle w:val="Compact"/>
        <w:numPr>
          <w:ilvl w:val="0"/>
          <w:numId w:val="1009"/>
        </w:numPr>
      </w:pPr>
      <w:r>
        <w:t xml:space="preserve">Lack of clarity on the timing of U.S. defense-budget or sustainment benefits.</w:t>
      </w:r>
    </w:p>
    <w:bookmarkEnd w:id="17"/>
    <w:bookmarkEnd w:id="18"/>
    <w:bookmarkStart w:id="19" w:name="X82c8aa727b5f29442293c5de3b4d34aa5c11df3"/>
    <w:p>
      <w:pPr>
        <w:pStyle w:val="Heading2"/>
      </w:pPr>
      <w:r>
        <w:t xml:space="preserve">Free cash flow and capital allocation matter</w:t>
      </w:r>
    </w:p>
    <w:p>
      <w:pPr>
        <w:pStyle w:val="FirstParagraph"/>
      </w:pPr>
      <w:r>
        <w:t xml:space="preserve">GE generated</w:t>
      </w:r>
      <w:r>
        <w:t xml:space="preserve"> </w:t>
      </w:r>
      <m:oMath>
        <m:r>
          <m:t>1.66</m:t>
        </m:r>
        <m:r>
          <m:t>b</m:t>
        </m:r>
        <m:r>
          <m:t>i</m:t>
        </m:r>
        <m:r>
          <m:t>l</m:t>
        </m:r>
        <m:r>
          <m:t>l</m:t>
        </m:r>
        <m:r>
          <m:t>i</m:t>
        </m:r>
        <m:r>
          <m:t>o</m:t>
        </m:r>
        <m:r>
          <m:t>n</m:t>
        </m:r>
        <m:r>
          <m:t>o</m:t>
        </m:r>
        <m:r>
          <m:t>f</m:t>
        </m:r>
        <m:r>
          <m:t>f</m:t>
        </m:r>
        <m:r>
          <m:t>r</m:t>
        </m:r>
        <m:r>
          <m:t>e</m:t>
        </m:r>
        <m:r>
          <m:t>e</m:t>
        </m:r>
        <m:r>
          <m:t>c</m:t>
        </m:r>
        <m:r>
          <m:t>a</m:t>
        </m:r>
        <m:r>
          <m:t>s</m:t>
        </m:r>
        <m:r>
          <m:t>h</m:t>
        </m:r>
        <m:r>
          <m:t>f</m:t>
        </m:r>
        <m:r>
          <m:t>l</m:t>
        </m:r>
        <m:r>
          <m:t>o</m:t>
        </m:r>
        <m:r>
          <m:t>w</m:t>
        </m:r>
        <m:r>
          <m:rPr>
            <m:sty m:val="p"/>
          </m:rPr>
          <m:t>*</m:t>
        </m:r>
        <m:r>
          <m:rPr>
            <m:sty m:val="p"/>
          </m:rPr>
          <m:t>*</m:t>
        </m:r>
        <m:r>
          <m:t>i</m:t>
        </m:r>
        <m:r>
          <m:t>n</m:t>
        </m:r>
        <m:r>
          <m:t>1</m:t>
        </m:r>
        <m:r>
          <m:t>Q</m:t>
        </m:r>
        <m:r>
          <m:t>a</m:t>
        </m:r>
        <m:r>
          <m:t>n</m:t>
        </m:r>
        <m:r>
          <m:t>d</m:t>
        </m:r>
        <m:r>
          <m:t>s</m:t>
        </m:r>
        <m:r>
          <m:t>t</m:t>
        </m:r>
        <m:r>
          <m:t>i</m:t>
        </m:r>
        <m:r>
          <m:t>l</m:t>
        </m:r>
        <m:r>
          <m:t>l</m:t>
        </m:r>
        <m:r>
          <m:t>g</m:t>
        </m:r>
        <m:r>
          <m:t>u</m:t>
        </m:r>
        <m:r>
          <m:t>i</m:t>
        </m:r>
        <m:r>
          <m:t>d</m:t>
        </m:r>
        <m:r>
          <m:t>e</m:t>
        </m:r>
        <m:r>
          <m:t>s</m:t>
        </m:r>
        <m:r>
          <m:t>t</m:t>
        </m:r>
        <m:r>
          <m:t>o</m:t>
        </m:r>
        <m:r>
          <m:rPr>
            <m:sty m:val="p"/>
          </m:rPr>
          <m:t>*</m:t>
        </m:r>
        <m:r>
          <m:rPr>
            <m:sty m:val="p"/>
          </m:rPr>
          <m:t>*</m:t>
        </m:r>
      </m:oMath>
      <w:r>
        <w:rPr>
          <w:b/>
          <w:bCs/>
        </w:rPr>
        <w:t xml:space="preserve">8.0 billion–$8.4 billion</w:t>
      </w:r>
      <w:r>
        <w:t xml:space="preserve"> </w:t>
      </w:r>
      <w:r>
        <w:t xml:space="preserve">for 2026. A second-quarter result consistent with that target should reinforce the company’s capacity to fund:</w:t>
      </w:r>
    </w:p>
    <w:p>
      <w:pPr>
        <w:pStyle w:val="Compact"/>
        <w:numPr>
          <w:ilvl w:val="0"/>
          <w:numId w:val="1010"/>
        </w:numPr>
      </w:pPr>
      <w:r>
        <w:t xml:space="preserve">roughly $3 billion of annual R&amp;D;</w:t>
      </w:r>
    </w:p>
    <w:p>
      <w:pPr>
        <w:pStyle w:val="Compact"/>
        <w:numPr>
          <w:ilvl w:val="0"/>
          <w:numId w:val="1010"/>
        </w:numPr>
      </w:pPr>
      <w:r>
        <w:t xml:space="preserve">capacity and durability investments;</w:t>
      </w:r>
    </w:p>
    <w:p>
      <w:pPr>
        <w:pStyle w:val="Compact"/>
        <w:numPr>
          <w:ilvl w:val="0"/>
          <w:numId w:val="1010"/>
        </w:numPr>
      </w:pPr>
      <w:r>
        <w:t xml:space="preserve">shareholder returns; and</w:t>
      </w:r>
    </w:p>
    <w:p>
      <w:pPr>
        <w:pStyle w:val="Compact"/>
        <w:numPr>
          <w:ilvl w:val="0"/>
          <w:numId w:val="1010"/>
        </w:numPr>
      </w:pPr>
      <w:r>
        <w:t xml:space="preserve">selective, strategically adjacent investments.</w:t>
      </w:r>
    </w:p>
    <w:p>
      <w:pPr>
        <w:pStyle w:val="FirstParagraph"/>
      </w:pPr>
      <w:r>
        <w:t xml:space="preserve">Cash conversion deserves close attention because stronger deliveries and services growth are only fully valuable if they convert into cash without undue working-capital drag. Any updated commentary on utilization billings, advances, inventory, and supplier-capacity investments will be important.</w:t>
      </w:r>
    </w:p>
    <w:bookmarkEnd w:id="19"/>
    <w:bookmarkStart w:id="20" w:name="X59f33c3bae99cbbd4298348d2537c59b1055b28"/>
    <w:p>
      <w:pPr>
        <w:pStyle w:val="Heading2"/>
      </w:pPr>
      <w:r>
        <w:t xml:space="preserve">Valuation and positioning: expectations remain demanding</w:t>
      </w:r>
    </w:p>
    <w:p>
      <w:pPr>
        <w:pStyle w:val="FirstParagraph"/>
      </w:pPr>
      <w:r>
        <w:t xml:space="preserve">GE closed at</w:t>
      </w:r>
      <w:r>
        <w:t xml:space="preserve"> </w:t>
      </w:r>
      <w:r>
        <w:rPr>
          <w:b/>
          <w:bCs/>
        </w:rPr>
        <w:t xml:space="preserve">$360.39 on July 15</w:t>
      </w:r>
      <w:r>
        <w:t xml:space="preserve">. That was roughly</w:t>
      </w:r>
      <w:r>
        <w:t xml:space="preserve"> </w:t>
      </w:r>
      <w:r>
        <w:rPr>
          <w:b/>
          <w:bCs/>
        </w:rPr>
        <w:t xml:space="preserve">27% above</w:t>
      </w:r>
      <w:r>
        <w:t xml:space="preserve"> </w:t>
      </w:r>
      <w:r>
        <w:t xml:space="preserve">its March 27 close, despite being about</w:t>
      </w:r>
      <w:r>
        <w:t xml:space="preserve"> </w:t>
      </w:r>
      <w:r>
        <w:rPr>
          <w:b/>
          <w:bCs/>
        </w:rPr>
        <w:t xml:space="preserve">4% below</w:t>
      </w:r>
      <w:r>
        <w:t xml:space="preserve"> </w:t>
      </w:r>
      <w:r>
        <w:t xml:space="preserve">its July 1 close.</w:t>
      </w:r>
    </w:p>
    <w:p>
      <w:pPr>
        <w:pStyle w:val="BodyText"/>
      </w:pPr>
      <w:r>
        <w:t xml:space="preserve">The stock’s recent pullback suggests investors have discounted some geopolitical and oil-related risk, but expectations for GE’s medium-term commercial aftermarket growth remain high. As a result, a simple quarterly beat may not be enough. A positive stock reaction likely requires one or more of:</w:t>
      </w:r>
    </w:p>
    <w:p>
      <w:pPr>
        <w:pStyle w:val="Compact"/>
        <w:numPr>
          <w:ilvl w:val="0"/>
          <w:numId w:val="1011"/>
        </w:numPr>
      </w:pPr>
      <w:r>
        <w:t xml:space="preserve">a guidance raise;</w:t>
      </w:r>
    </w:p>
    <w:p>
      <w:pPr>
        <w:pStyle w:val="Compact"/>
        <w:numPr>
          <w:ilvl w:val="0"/>
          <w:numId w:val="1011"/>
        </w:numPr>
      </w:pPr>
      <w:r>
        <w:t xml:space="preserve">a firmer high-end-of-guide commitment;</w:t>
      </w:r>
    </w:p>
    <w:p>
      <w:pPr>
        <w:pStyle w:val="Compact"/>
        <w:numPr>
          <w:ilvl w:val="0"/>
          <w:numId w:val="1011"/>
        </w:numPr>
      </w:pPr>
      <w:r>
        <w:t xml:space="preserve">strong evidence that order and shop-visit trends held up through June and early July;</w:t>
      </w:r>
    </w:p>
    <w:p>
      <w:pPr>
        <w:pStyle w:val="Compact"/>
        <w:numPr>
          <w:ilvl w:val="0"/>
          <w:numId w:val="1011"/>
        </w:numPr>
      </w:pPr>
      <w:r>
        <w:t xml:space="preserve">better-than-feared CES margin performance;</w:t>
      </w:r>
    </w:p>
    <w:p>
      <w:pPr>
        <w:pStyle w:val="Compact"/>
        <w:numPr>
          <w:ilvl w:val="0"/>
          <w:numId w:val="1011"/>
        </w:numPr>
      </w:pPr>
      <w:r>
        <w:t xml:space="preserve">improved supply-chain confidence; or</w:t>
      </w:r>
    </w:p>
    <w:p>
      <w:pPr>
        <w:pStyle w:val="Compact"/>
        <w:numPr>
          <w:ilvl w:val="0"/>
          <w:numId w:val="1011"/>
        </w:numPr>
      </w:pPr>
      <w:r>
        <w:t xml:space="preserve">a reassuring 2027 framework.</w:t>
      </w:r>
    </w:p>
    <w:p>
      <w:pPr>
        <w:pStyle w:val="FirstParagraph"/>
      </w:pPr>
      <w:r>
        <w:t xml:space="preserve">Conversely, an unchanged guide accompanied by more cautious comments on the second half could weigh on the shares even if reported 2Q results exceed consensus.</w:t>
      </w:r>
    </w:p>
    <w:bookmarkEnd w:id="20"/>
    <w:bookmarkStart w:id="21" w:name="questions-that-matter-most-on-the-call"/>
    <w:p>
      <w:pPr>
        <w:pStyle w:val="Heading2"/>
      </w:pPr>
      <w:r>
        <w:t xml:space="preserve">Questions that matter most on the call</w:t>
      </w:r>
    </w:p>
    <w:p>
      <w:pPr>
        <w:pStyle w:val="Compact"/>
        <w:numPr>
          <w:ilvl w:val="0"/>
          <w:numId w:val="1012"/>
        </w:numPr>
      </w:pPr>
      <w:r>
        <w:rPr>
          <w:b/>
          <w:bCs/>
        </w:rPr>
        <w:t xml:space="preserve">Is 2Q commercial-services growth meeting or exceeding the high-teens expectation set in April?</w:t>
      </w:r>
    </w:p>
    <w:p>
      <w:pPr>
        <w:pStyle w:val="Compact"/>
        <w:numPr>
          <w:ilvl w:val="0"/>
          <w:numId w:val="1012"/>
        </w:numPr>
      </w:pPr>
      <w:r>
        <w:rPr>
          <w:b/>
          <w:bCs/>
        </w:rPr>
        <w:t xml:space="preserve">Have spare-parts orders remained near the ~40% growth rate discussed in June, or has demand moderated?</w:t>
      </w:r>
    </w:p>
    <w:p>
      <w:pPr>
        <w:pStyle w:val="Compact"/>
        <w:numPr>
          <w:ilvl w:val="0"/>
          <w:numId w:val="1012"/>
        </w:numPr>
      </w:pPr>
      <w:r>
        <w:rPr>
          <w:b/>
          <w:bCs/>
        </w:rPr>
        <w:t xml:space="preserve">What are the latest trends in engine removals, shop-visit inductions, parked aircraft, and retirements?</w:t>
      </w:r>
    </w:p>
    <w:p>
      <w:pPr>
        <w:pStyle w:val="Compact"/>
        <w:numPr>
          <w:ilvl w:val="0"/>
          <w:numId w:val="1012"/>
        </w:numPr>
      </w:pPr>
      <w:r>
        <w:rPr>
          <w:b/>
          <w:bCs/>
        </w:rPr>
        <w:t xml:space="preserve">Does management still believe it can deliver the high end of 2026 operating-profit, EPS, and FCF guidance?</w:t>
      </w:r>
    </w:p>
    <w:p>
      <w:pPr>
        <w:pStyle w:val="Compact"/>
        <w:numPr>
          <w:ilvl w:val="0"/>
          <w:numId w:val="1012"/>
        </w:numPr>
      </w:pPr>
      <w:r>
        <w:rPr>
          <w:b/>
          <w:bCs/>
        </w:rPr>
        <w:t xml:space="preserve">How have renewed July oil-price and geopolitical developments changed GE’s departure, airline-credit, and services assumptions?</w:t>
      </w:r>
    </w:p>
    <w:p>
      <w:pPr>
        <w:pStyle w:val="Compact"/>
        <w:numPr>
          <w:ilvl w:val="0"/>
          <w:numId w:val="1012"/>
        </w:numPr>
      </w:pPr>
      <w:r>
        <w:rPr>
          <w:b/>
          <w:bCs/>
        </w:rPr>
        <w:t xml:space="preserve">Has supply improved enough to reduce parts delinquency and support a higher second-half output run rate?</w:t>
      </w:r>
    </w:p>
    <w:p>
      <w:pPr>
        <w:pStyle w:val="Compact"/>
        <w:numPr>
          <w:ilvl w:val="0"/>
          <w:numId w:val="1012"/>
        </w:numPr>
      </w:pPr>
      <w:r>
        <w:rPr>
          <w:b/>
          <w:bCs/>
        </w:rPr>
        <w:t xml:space="preserve">Are LEAP aftermarket margins improving as planned, and is the 2028 profitability trajectory intact?</w:t>
      </w:r>
    </w:p>
    <w:p>
      <w:pPr>
        <w:pStyle w:val="Compact"/>
        <w:numPr>
          <w:ilvl w:val="0"/>
          <w:numId w:val="1012"/>
        </w:numPr>
      </w:pPr>
      <w:r>
        <w:rPr>
          <w:b/>
          <w:bCs/>
        </w:rPr>
        <w:t xml:space="preserve">Does GE still see double-digit commercial-services growth in 2027?</w:t>
      </w:r>
    </w:p>
    <w:p>
      <w:pPr>
        <w:pStyle w:val="Compact"/>
        <w:numPr>
          <w:ilvl w:val="0"/>
          <w:numId w:val="1012"/>
        </w:numPr>
      </w:pPr>
      <w:r>
        <w:rPr>
          <w:b/>
          <w:bCs/>
        </w:rPr>
        <w:t xml:space="preserve">Are GE9X costs, deliveries, and the 777X certification timeline tracking to plan?</w:t>
      </w:r>
    </w:p>
    <w:p>
      <w:pPr>
        <w:pStyle w:val="Compact"/>
        <w:numPr>
          <w:ilvl w:val="0"/>
          <w:numId w:val="1012"/>
        </w:numPr>
      </w:pPr>
      <w:r>
        <w:rPr>
          <w:b/>
          <w:bCs/>
        </w:rPr>
        <w:t xml:space="preserve">What incremental defense sustainment or international opportunities are embedded—or not embedded—in the outlook?</w:t>
      </w:r>
    </w:p>
    <w:bookmarkEnd w:id="21"/>
    <w:bookmarkStart w:id="22" w:name="bottom-line"/>
    <w:p>
      <w:pPr>
        <w:pStyle w:val="Heading2"/>
      </w:pPr>
      <w:r>
        <w:t xml:space="preserve">Bottom line</w:t>
      </w:r>
    </w:p>
    <w:p>
      <w:pPr>
        <w:pStyle w:val="FirstParagraph"/>
      </w:pPr>
      <w:r>
        <w:t xml:space="preserve">The setup appears favorable for a</w:t>
      </w:r>
      <w:r>
        <w:t xml:space="preserve"> </w:t>
      </w:r>
      <w:r>
        <w:rPr>
          <w:b/>
          <w:bCs/>
        </w:rPr>
        <w:t xml:space="preserve">strong reported 2Q</w:t>
      </w:r>
      <w:r>
        <w:t xml:space="preserve">, supported by services backlog, robust spare-parts demand, shop-visit visibility, and continuing operational improvement. The more consequential question is whether management’s current caution has become unnecessarily conservative—or is appropriately reflecting a real second-half and 2027 aviation risk.</w:t>
      </w:r>
    </w:p>
    <w:p>
      <w:pPr>
        <w:pStyle w:val="BodyText"/>
      </w:pPr>
      <w:r>
        <w:t xml:space="preserve">For investors, the highest-value signals will be</w:t>
      </w:r>
      <w:r>
        <w:t xml:space="preserve"> </w:t>
      </w:r>
      <w:r>
        <w:rPr>
          <w:b/>
          <w:bCs/>
        </w:rPr>
        <w:t xml:space="preserve">aftermarket order trends, supply-chain conversion, the high-end-of-guide posture, and any update to the 2027 commercial-services trajectory</w:t>
      </w:r>
      <w:r>
        <w:t xml:space="preserve">. A confident reaffirmation of those pillars would support the long-duration aerospace-aftermarket thesis; a more guarded discussion of second-half demand would likely dominate the reaction regardless of the headline quarter.</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2026-07-16T01:06:02Z</dcterms:created>
  <dcterms:modified xsi:type="dcterms:W3CDTF">2026-07-16T01:06:02Z</dcterms:modified>
</cp:coreProperties>
</file>

<file path=docProps/custom.xml><?xml version="1.0" encoding="utf-8"?>
<Properties xmlns="http://schemas.openxmlformats.org/officeDocument/2006/custom-properties" xmlns:vt="http://schemas.openxmlformats.org/officeDocument/2006/docPropsVTypes"/>
</file>