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GE Aerospace (GE)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GE Aerospace</w:t>
            </w:r>
          </w:p>
        </w:tc>
        <w:tc>
          <w:tcPr>
            <w:tcW w:type="dxa" w:w="2160"/>
          </w:tcPr>
          <w:p>
            <w:r>
              <w:rPr>
                <w:rFonts w:ascii="Calibri" w:hAnsi="Calibri"/>
                <w:b/>
                <w:sz w:val="22"/>
              </w:rPr>
              <w:t>Upcoming Earnings</w:t>
            </w:r>
          </w:p>
        </w:tc>
        <w:tc>
          <w:tcPr>
            <w:tcW w:type="dxa" w:w="2160"/>
          </w:tcPr>
          <w:p>
            <w:r>
              <w:rPr>
                <w:rFonts w:ascii="Calibri" w:hAnsi="Calibri"/>
                <w:sz w:val="22"/>
              </w:rPr>
              <w:t>Q2 2026 (Expected Late July 2026)</w:t>
            </w:r>
          </w:p>
        </w:tc>
      </w:tr>
      <w:tr>
        <w:tc>
          <w:tcPr>
            <w:tcW w:type="dxa" w:w="2160"/>
          </w:tcPr>
          <w:p>
            <w:r>
              <w:rPr>
                <w:rFonts w:ascii="Calibri" w:hAnsi="Calibri"/>
                <w:b/>
                <w:sz w:val="22"/>
              </w:rPr>
              <w:t>Ticker</w:t>
            </w:r>
          </w:p>
        </w:tc>
        <w:tc>
          <w:tcPr>
            <w:tcW w:type="dxa" w:w="2160"/>
          </w:tcPr>
          <w:p>
            <w:r>
              <w:rPr>
                <w:rFonts w:ascii="Calibri" w:hAnsi="Calibri"/>
                <w:sz w:val="22"/>
              </w:rPr>
              <w:t>GE (NYSE)</w:t>
            </w:r>
          </w:p>
        </w:tc>
        <w:tc>
          <w:tcPr>
            <w:tcW w:type="dxa" w:w="2160"/>
          </w:tcPr>
          <w:p>
            <w:r>
              <w:rPr>
                <w:rFonts w:ascii="Calibri" w:hAnsi="Calibri"/>
                <w:b/>
                <w:sz w:val="22"/>
              </w:rPr>
              <w:t>Last Earnings</w:t>
            </w:r>
          </w:p>
        </w:tc>
        <w:tc>
          <w:tcPr>
            <w:tcW w:type="dxa" w:w="2160"/>
          </w:tcPr>
          <w:p>
            <w:r>
              <w:rPr>
                <w:rFonts w:ascii="Calibri" w:hAnsi="Calibri"/>
                <w:sz w:val="22"/>
              </w:rPr>
              <w:t>Q1 2026 — April 21, 2026</w:t>
            </w:r>
          </w:p>
        </w:tc>
      </w:tr>
      <w:tr>
        <w:tc>
          <w:tcPr>
            <w:tcW w:type="dxa" w:w="2160"/>
          </w:tcPr>
          <w:p>
            <w:r>
              <w:rPr>
                <w:rFonts w:ascii="Calibri" w:hAnsi="Calibri"/>
                <w:b/>
                <w:sz w:val="22"/>
              </w:rPr>
              <w:t>Sector</w:t>
            </w:r>
          </w:p>
        </w:tc>
        <w:tc>
          <w:tcPr>
            <w:tcW w:type="dxa" w:w="2160"/>
          </w:tcPr>
          <w:p>
            <w:r>
              <w:rPr>
                <w:rFonts w:ascii="Calibri" w:hAnsi="Calibri"/>
                <w:sz w:val="22"/>
              </w:rPr>
              <w:t>Aerospace &amp; Defense</w:t>
            </w:r>
          </w:p>
        </w:tc>
        <w:tc>
          <w:tcPr>
            <w:tcW w:type="dxa" w:w="2160"/>
          </w:tcPr>
          <w:p>
            <w:r>
              <w:rPr>
                <w:rFonts w:ascii="Calibri" w:hAnsi="Calibri"/>
                <w:b/>
                <w:sz w:val="22"/>
              </w:rPr>
              <w:t>Prepared Date</w:t>
            </w:r>
          </w:p>
        </w:tc>
        <w:tc>
          <w:tcPr>
            <w:tcW w:type="dxa" w:w="2160"/>
          </w:tcPr>
          <w:p>
            <w:r>
              <w:rPr>
                <w:rFonts w:ascii="Calibri" w:hAnsi="Calibri"/>
                <w:sz w:val="22"/>
              </w:rPr>
              <w:t>July 15,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the bar is achievable and management has already signaled it is trending to the high end of all guidance ranges — but the stock has re-rated sharply since Q1 and the biggest swing factor is whether commercial services growth in Q2 can sustain the high-teens pace management guided, validating the full-year services revenue upgrade.</w:t>
      </w:r>
    </w:p>
    <w:p>
      <w:r>
        <w:rPr>
          <w:rFonts w:ascii="Calibri" w:hAnsi="Calibri"/>
          <w:color w:val="525866"/>
          <w:sz w:val="22"/>
        </w:rPr>
        <w:t xml:space="preserve">Heading into Q2 2026, GE Aerospace presents a constructive setup: consensus is modeling </w:t>
      </w:r>
      <w:r>
        <w:rPr>
          <w:rFonts w:ascii="Calibri" w:hAnsi="Calibri"/>
          <w:b/>
          <w:color w:val="525866"/>
          <w:sz w:val="22"/>
        </w:rPr>
        <w:t>~$12.6B in revenue and ~$1.87 in operating EPS</w:t>
      </w:r>
      <w:r>
        <w:rPr>
          <w:rFonts w:ascii="Calibri" w:hAnsi="Calibri"/>
          <w:color w:val="525866"/>
          <w:sz w:val="22"/>
        </w:rPr>
        <w:t xml:space="preserve">, both of which sit below the pace implied by management’s own commentary that the company is “trending toward the high end” of every guidance range. The bar is not demanding — Q1 2026 operating EPS of $1.86 already beat the then-consensus of $1.61 by ~16%, and management explicitly stated it would have raised full-year guidance absent Middle East geopolitical uncertainty. </w:t>
      </w:r>
      <w:r>
        <w:rPr>
          <w:rFonts w:ascii="Calibri" w:hAnsi="Calibri"/>
          <w:b/>
          <w:color w:val="525866"/>
          <w:sz w:val="22"/>
        </w:rPr>
        <w:t>Estimate trajectory has been modestly positive since Q1 earnings</w:t>
      </w:r>
      <w:r>
        <w:rPr>
          <w:rFonts w:ascii="Calibri" w:hAnsi="Calibri"/>
          <w:color w:val="525866"/>
          <w:sz w:val="22"/>
        </w:rPr>
        <w:t>: the Q2 consensus EPS stood at ~$1.86 as of April 28 (just after Q1 results), essentially in line with the current build, suggesting the street has not yet fully priced in the upward services momentum. The stock has surged ~26% since the Q1 print (vs. XAR flat and SPY +7%), compressing the margin for error and pricing in a solid quarter, but the NTM P/E multiple still reflects a company executing well ahead of its own 2028 targets. The key wildcard is the trajectory of Middle East air traffic and spare parts demand: management noted at the Bernstein conference in late May that spare parts orders had accelerated to ~40% YoY (from ~30% at Q1 earnings) and parked aircraft were declining, which, if sustained through June, would be a meaningful positive read-through for Q2 services revenue and could prompt a guidance raise on the Q2 call.</w:t>
      </w:r>
    </w:p>
    <w:p>
      <w:r>
        <w:rPr>
          <w:rFonts w:ascii="Calibri" w:hAnsi="Calibri"/>
          <w:b/>
          <w:color w:val="525866"/>
          <w:sz w:val="22"/>
        </w:rPr>
        <w:t xml:space="preserve">Bar: </w:t>
      </w:r>
      <w:r>
        <w:rPr>
          <w:rFonts w:ascii="Calibri" w:hAnsi="Calibri"/>
          <w:color w:val="525866"/>
          <w:sz w:val="22"/>
        </w:rPr>
        <w:t>Consensus commercial services revenue estimate of ~$7.0B for Q2 implies ~19% YoY growth, consistent with management’s “high-teens” Q2 services guide. The bar is achievable but not low — any acceleration above that level (as spare parts data suggests is possible) would be a positive surprise.</w:t>
      </w:r>
    </w:p>
    <w:p>
      <w:r>
        <w:rPr>
          <w:rFonts w:ascii="Calibri" w:hAnsi="Calibri"/>
          <w:b/>
          <w:color w:val="525866"/>
          <w:sz w:val="22"/>
        </w:rPr>
        <w:t xml:space="preserve">Guidance/Tone: </w:t>
      </w:r>
      <w:r>
        <w:rPr>
          <w:rFonts w:ascii="Calibri" w:hAnsi="Calibri"/>
          <w:color w:val="525866"/>
          <w:sz w:val="22"/>
        </w:rPr>
        <w:t>Management’s posture has incrementally improved since Q1 earnings. At the Bernstein conference (late May), CEO Larry Culp noted parked aircraft declining, spare parts orders accelerating, and no observable airline behavioral change — a more constructive tone than the cautious Q1 call. Management also provided the first explicit directional commentary on 2027, guiding to double-digit aftermarket growth.</w:t>
      </w:r>
    </w:p>
    <w:p>
      <w:r>
        <w:rPr>
          <w:rFonts w:ascii="Calibri" w:hAnsi="Calibri"/>
          <w:b/>
          <w:color w:val="525866"/>
          <w:sz w:val="22"/>
        </w:rPr>
        <w:t xml:space="preserve">Estimate Trajectory: </w:t>
      </w:r>
      <w:r>
        <w:rPr>
          <w:rFonts w:ascii="Calibri" w:hAnsi="Calibri"/>
          <w:color w:val="525866"/>
          <w:sz w:val="22"/>
        </w:rPr>
        <w:t>Revisions have been modestly upward since Q1 earnings, tracking management’s guidance upgrade on services revenue (now ~$4B YoY growth vs. ~$3.5B prior). The gap between consensus and the high end of guidance represents cushion rather than risk, assuming no macro deterioration.</w:t>
      </w:r>
    </w:p>
    <w:p>
      <w:r>
        <w:rPr>
          <w:rFonts w:ascii="Calibri" w:hAnsi="Calibri"/>
          <w:b/>
          <w:color w:val="525866"/>
          <w:sz w:val="22"/>
        </w:rPr>
        <w:t xml:space="preserve">Stock Setup: </w:t>
      </w:r>
      <w:r>
        <w:rPr>
          <w:rFonts w:ascii="Calibri" w:hAnsi="Calibri"/>
          <w:color w:val="525866"/>
          <w:sz w:val="22"/>
        </w:rPr>
        <w:t>GE has re-rated sharply post-Q1 (+26% vs. XAR flat), pricing in continued execution. The stock trades at a premium multiple reflecting the company’s early achievement of 2028 margin targets. A beat-and-raise would likely be well-received, but the stock needs a guidance raise (not just a beat) to sustain momentum from current levels.</w:t>
      </w:r>
    </w:p>
    <w:p>
      <w:r>
        <w:rPr>
          <w:rFonts w:ascii="Calibri" w:hAnsi="Calibri"/>
          <w:b/>
          <w:color w:val="525866"/>
          <w:sz w:val="22"/>
        </w:rPr>
        <w:t xml:space="preserve">Wildcard: </w:t>
      </w:r>
      <w:r>
        <w:rPr>
          <w:rFonts w:ascii="Calibri" w:hAnsi="Calibri"/>
          <w:color w:val="525866"/>
          <w:sz w:val="22"/>
        </w:rPr>
        <w:t>The pace of spare parts orders and Middle East air traffic recovery. Management’s late-May data point of ~40% YoY spare parts growth (vs. ~30% at Q1 earnings) is the single most important leading indicator for Q2 commercial services revenue. If that acceleration held through June, Q2 services could surprise meaningfully to the upside and trigger a full-year guidance raise.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for Q2 2026 — commercial services revenue (~$7.0B, +19% YoY) is the bigger swing factor, as it drives the majority of operating profit; operating EPS of ~$1.87 is achievable given Q1’s strong momentum and management’s explicit “high-teens” Q2 services guide.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Revenue ($B)</w:t>
            </w:r>
          </w:p>
        </w:tc>
        <w:tc>
          <w:tcPr>
            <w:tcW w:type="dxa" w:w="1234"/>
          </w:tcPr>
          <w:p>
            <w:r>
              <w:rPr>
                <w:rFonts w:ascii="Calibri" w:hAnsi="Calibri"/>
                <w:sz w:val="22"/>
              </w:rPr>
              <w:t>$12.39B</w:t>
            </w:r>
          </w:p>
        </w:tc>
        <w:tc>
          <w:tcPr>
            <w:tcW w:type="dxa" w:w="1234"/>
          </w:tcPr>
          <w:p>
            <w:r>
              <w:rPr>
                <w:rFonts w:ascii="Calibri" w:hAnsi="Calibri"/>
                <w:sz w:val="22"/>
              </w:rPr>
              <w:t>$11.02B</w:t>
            </w:r>
          </w:p>
        </w:tc>
        <w:tc>
          <w:tcPr>
            <w:tcW w:type="dxa" w:w="1234"/>
          </w:tcPr>
          <w:p>
            <w:r>
              <w:rPr>
                <w:rFonts w:ascii="Calibri" w:hAnsi="Calibri"/>
                <w:sz w:val="22"/>
              </w:rPr>
              <w:t>$12.57B</w:t>
            </w:r>
          </w:p>
        </w:tc>
        <w:tc>
          <w:tcPr>
            <w:tcW w:type="dxa" w:w="1234"/>
          </w:tcPr>
          <w:p>
            <w:r>
              <w:rPr>
                <w:rFonts w:ascii="Calibri" w:hAnsi="Calibri"/>
                <w:b/>
                <w:color w:val="30A46C"/>
                <w:sz w:val="22"/>
              </w:rPr>
              <w:t>+14.1%</w:t>
            </w:r>
          </w:p>
        </w:tc>
        <w:tc>
          <w:tcPr>
            <w:tcW w:type="dxa" w:w="1234"/>
          </w:tcPr>
          <w:p>
            <w:r>
              <w:rPr>
                <w:rFonts w:ascii="Calibri" w:hAnsi="Calibri"/>
                <w:sz w:val="22"/>
              </w:rPr>
              <w:t>Low double-digit growth (FY)</w:t>
            </w:r>
          </w:p>
        </w:tc>
        <w:tc>
          <w:tcPr>
            <w:tcW w:type="dxa" w:w="1234"/>
          </w:tcPr>
          <w:p>
            <w:r>
              <w:rPr>
                <w:rFonts w:ascii="Calibri" w:hAnsi="Calibri"/>
                <w:sz w:val="22"/>
              </w:rPr>
              <w:t>In line</w:t>
            </w:r>
          </w:p>
        </w:tc>
      </w:tr>
      <w:tr>
        <w:tc>
          <w:tcPr>
            <w:tcW w:type="dxa" w:w="1234"/>
          </w:tcPr>
          <w:p>
            <w:r>
              <w:rPr>
                <w:rFonts w:ascii="Calibri" w:hAnsi="Calibri"/>
                <w:sz w:val="22"/>
              </w:rPr>
              <w:t>Commercial Services Revenue ($B)</w:t>
            </w:r>
          </w:p>
        </w:tc>
        <w:tc>
          <w:tcPr>
            <w:tcW w:type="dxa" w:w="1234"/>
          </w:tcPr>
          <w:p>
            <w:r>
              <w:rPr>
                <w:rFonts w:ascii="Calibri" w:hAnsi="Calibri"/>
                <w:sz w:val="22"/>
              </w:rPr>
              <w:t>$6.82B</w:t>
            </w:r>
          </w:p>
        </w:tc>
        <w:tc>
          <w:tcPr>
            <w:tcW w:type="dxa" w:w="1234"/>
          </w:tcPr>
          <w:p>
            <w:r>
              <w:rPr>
                <w:rFonts w:ascii="Calibri" w:hAnsi="Calibri"/>
                <w:sz w:val="22"/>
              </w:rPr>
              <w:t>$5.88B</w:t>
            </w:r>
          </w:p>
        </w:tc>
        <w:tc>
          <w:tcPr>
            <w:tcW w:type="dxa" w:w="1234"/>
          </w:tcPr>
          <w:p>
            <w:r>
              <w:rPr>
                <w:rFonts w:ascii="Calibri" w:hAnsi="Calibri"/>
                <w:sz w:val="22"/>
              </w:rPr>
              <w:t>$7.04B</w:t>
            </w:r>
          </w:p>
        </w:tc>
        <w:tc>
          <w:tcPr>
            <w:tcW w:type="dxa" w:w="1234"/>
          </w:tcPr>
          <w:p>
            <w:r>
              <w:rPr>
                <w:rFonts w:ascii="Calibri" w:hAnsi="Calibri"/>
                <w:b/>
                <w:color w:val="30A46C"/>
                <w:sz w:val="22"/>
              </w:rPr>
              <w:t>+19.7%</w:t>
            </w:r>
          </w:p>
        </w:tc>
        <w:tc>
          <w:tcPr>
            <w:tcW w:type="dxa" w:w="1234"/>
          </w:tcPr>
          <w:p>
            <w:r>
              <w:rPr>
                <w:rFonts w:ascii="Calibri" w:hAnsi="Calibri"/>
                <w:sz w:val="22"/>
              </w:rPr>
              <w:t>~$4B YoY growth (FY)</w:t>
            </w:r>
          </w:p>
        </w:tc>
        <w:tc>
          <w:tcPr>
            <w:tcW w:type="dxa" w:w="1234"/>
          </w:tcPr>
          <w:p>
            <w:r>
              <w:rPr>
                <w:rFonts w:ascii="Calibri" w:hAnsi="Calibri"/>
                <w:sz w:val="22"/>
              </w:rPr>
              <w:t>In line with high-teens guide</w:t>
            </w:r>
          </w:p>
        </w:tc>
      </w:tr>
      <w:tr>
        <w:tc>
          <w:tcPr>
            <w:tcW w:type="dxa" w:w="1234"/>
          </w:tcPr>
          <w:p>
            <w:r>
              <w:rPr>
                <w:rFonts w:ascii="Calibri" w:hAnsi="Calibri"/>
                <w:sz w:val="22"/>
              </w:rPr>
              <w:t>CES Segment Revenue ($B)</w:t>
            </w:r>
          </w:p>
        </w:tc>
        <w:tc>
          <w:tcPr>
            <w:tcW w:type="dxa" w:w="1234"/>
          </w:tcPr>
          <w:p>
            <w:r>
              <w:rPr>
                <w:rFonts w:ascii="Calibri" w:hAnsi="Calibri"/>
                <w:sz w:val="22"/>
              </w:rPr>
              <w:t>$8.92B</w:t>
            </w:r>
          </w:p>
        </w:tc>
        <w:tc>
          <w:tcPr>
            <w:tcW w:type="dxa" w:w="1234"/>
          </w:tcPr>
          <w:p>
            <w:r>
              <w:rPr>
                <w:rFonts w:ascii="Calibri" w:hAnsi="Calibri"/>
                <w:sz w:val="22"/>
              </w:rPr>
              <w:t>$7.65B</w:t>
            </w:r>
          </w:p>
        </w:tc>
        <w:tc>
          <w:tcPr>
            <w:tcW w:type="dxa" w:w="1234"/>
          </w:tcPr>
          <w:p>
            <w:r>
              <w:rPr>
                <w:rFonts w:ascii="Calibri" w:hAnsi="Calibri"/>
                <w:sz w:val="22"/>
              </w:rPr>
              <w:t>$9.22B</w:t>
            </w:r>
          </w:p>
        </w:tc>
        <w:tc>
          <w:tcPr>
            <w:tcW w:type="dxa" w:w="1234"/>
          </w:tcPr>
          <w:p>
            <w:r>
              <w:rPr>
                <w:rFonts w:ascii="Calibri" w:hAnsi="Calibri"/>
                <w:b/>
                <w:color w:val="30A46C"/>
                <w:sz w:val="22"/>
              </w:rPr>
              <w:t>+20.5%</w:t>
            </w:r>
          </w:p>
        </w:tc>
        <w:tc>
          <w:tcPr>
            <w:tcW w:type="dxa" w:w="1234"/>
          </w:tcPr>
          <w:p>
            <w:r>
              <w:rPr>
                <w:rFonts w:ascii="Calibri" w:hAnsi="Calibri"/>
                <w:sz w:val="22"/>
              </w:rPr>
              <w:t>Maintained (trending high end)</w:t>
            </w:r>
          </w:p>
        </w:tc>
        <w:tc>
          <w:tcPr>
            <w:tcW w:type="dxa" w:w="1234"/>
          </w:tcPr>
          <w:p>
            <w:r>
              <w:rPr>
                <w:rFonts w:ascii="Calibri" w:hAnsi="Calibri"/>
                <w:sz w:val="22"/>
              </w:rPr>
              <w:t>In line</w:t>
            </w:r>
          </w:p>
        </w:tc>
      </w:tr>
      <w:tr>
        <w:tc>
          <w:tcPr>
            <w:tcW w:type="dxa" w:w="1234"/>
          </w:tcPr>
          <w:p>
            <w:r>
              <w:rPr>
                <w:rFonts w:ascii="Calibri" w:hAnsi="Calibri"/>
                <w:sz w:val="22"/>
              </w:rPr>
              <w:t>DPT Segment Revenue ($B)</w:t>
            </w:r>
          </w:p>
        </w:tc>
        <w:tc>
          <w:tcPr>
            <w:tcW w:type="dxa" w:w="1234"/>
          </w:tcPr>
          <w:p>
            <w:r>
              <w:rPr>
                <w:rFonts w:ascii="Calibri" w:hAnsi="Calibri"/>
                <w:sz w:val="22"/>
              </w:rPr>
              <w:t>$3.21B</w:t>
            </w:r>
          </w:p>
        </w:tc>
        <w:tc>
          <w:tcPr>
            <w:tcW w:type="dxa" w:w="1234"/>
          </w:tcPr>
          <w:p>
            <w:r>
              <w:rPr>
                <w:rFonts w:ascii="Calibri" w:hAnsi="Calibri"/>
                <w:sz w:val="22"/>
              </w:rPr>
              <w:t>$2.98B</w:t>
            </w:r>
          </w:p>
        </w:tc>
        <w:tc>
          <w:tcPr>
            <w:tcW w:type="dxa" w:w="1234"/>
          </w:tcPr>
          <w:p>
            <w:r>
              <w:rPr>
                <w:rFonts w:ascii="Calibri" w:hAnsi="Calibri"/>
                <w:sz w:val="22"/>
              </w:rPr>
              <w:t>$3.22B</w:t>
            </w:r>
          </w:p>
        </w:tc>
        <w:tc>
          <w:tcPr>
            <w:tcW w:type="dxa" w:w="1234"/>
          </w:tcPr>
          <w:p>
            <w:r>
              <w:rPr>
                <w:rFonts w:ascii="Calibri" w:hAnsi="Calibri"/>
                <w:b/>
                <w:color w:val="30A46C"/>
                <w:sz w:val="22"/>
              </w:rPr>
              <w:t>+8.1%</w:t>
            </w:r>
          </w:p>
        </w:tc>
        <w:tc>
          <w:tcPr>
            <w:tcW w:type="dxa" w:w="1234"/>
          </w:tcPr>
          <w:p>
            <w:r>
              <w:rPr>
                <w:rFonts w:ascii="Calibri" w:hAnsi="Calibri"/>
                <w:sz w:val="22"/>
              </w:rPr>
              <w:t>Maintained (trending high end)</w:t>
            </w:r>
          </w:p>
        </w:tc>
        <w:tc>
          <w:tcPr>
            <w:tcW w:type="dxa" w:w="1234"/>
          </w:tcPr>
          <w:p>
            <w:r>
              <w:rPr>
                <w:rFonts w:ascii="Calibri" w:hAnsi="Calibri"/>
                <w:sz w:val="22"/>
              </w:rPr>
              <w:t>In line</w:t>
            </w:r>
          </w:p>
        </w:tc>
      </w:tr>
      <w:tr>
        <w:tc>
          <w:tcPr>
            <w:tcW w:type="dxa" w:w="1234"/>
          </w:tcPr>
          <w:p>
            <w:r>
              <w:rPr>
                <w:rFonts w:ascii="Calibri" w:hAnsi="Calibri"/>
                <w:sz w:val="22"/>
              </w:rPr>
              <w:t>Operating EBIT ($B)</w:t>
            </w:r>
          </w:p>
        </w:tc>
        <w:tc>
          <w:tcPr>
            <w:tcW w:type="dxa" w:w="1234"/>
          </w:tcPr>
          <w:p>
            <w:r>
              <w:rPr>
                <w:rFonts w:ascii="Calibri" w:hAnsi="Calibri"/>
                <w:sz w:val="22"/>
              </w:rPr>
              <w:t>$2.53B</w:t>
            </w:r>
          </w:p>
        </w:tc>
        <w:tc>
          <w:tcPr>
            <w:tcW w:type="dxa" w:w="1234"/>
          </w:tcPr>
          <w:p>
            <w:r>
              <w:rPr>
                <w:rFonts w:ascii="Calibri" w:hAnsi="Calibri"/>
                <w:sz w:val="22"/>
              </w:rPr>
              <w:t>$2.34B</w:t>
            </w:r>
          </w:p>
        </w:tc>
        <w:tc>
          <w:tcPr>
            <w:tcW w:type="dxa" w:w="1234"/>
          </w:tcPr>
          <w:p>
            <w:r>
              <w:rPr>
                <w:rFonts w:ascii="Calibri" w:hAnsi="Calibri"/>
                <w:sz w:val="22"/>
              </w:rPr>
              <w:t>$2.58B</w:t>
            </w:r>
          </w:p>
        </w:tc>
        <w:tc>
          <w:tcPr>
            <w:tcW w:type="dxa" w:w="1234"/>
          </w:tcPr>
          <w:p>
            <w:r>
              <w:rPr>
                <w:rFonts w:ascii="Calibri" w:hAnsi="Calibri"/>
                <w:b/>
                <w:color w:val="30A46C"/>
                <w:sz w:val="22"/>
              </w:rPr>
              <w:t>+10.3%</w:t>
            </w:r>
          </w:p>
        </w:tc>
        <w:tc>
          <w:tcPr>
            <w:tcW w:type="dxa" w:w="1234"/>
          </w:tcPr>
          <w:p>
            <w:r>
              <w:rPr>
                <w:rFonts w:ascii="Calibri" w:hAnsi="Calibri"/>
                <w:sz w:val="22"/>
              </w:rPr>
              <w:t>$9.85B–$10.25B (FY)</w:t>
            </w:r>
          </w:p>
        </w:tc>
        <w:tc>
          <w:tcPr>
            <w:tcW w:type="dxa" w:w="1234"/>
          </w:tcPr>
          <w:p>
            <w:r>
              <w:rPr>
                <w:rFonts w:ascii="Calibri" w:hAnsi="Calibri"/>
                <w:sz w:val="22"/>
              </w:rPr>
              <w:t>~In line with midpoint pace</w:t>
            </w:r>
          </w:p>
        </w:tc>
      </w:tr>
      <w:tr>
        <w:tc>
          <w:tcPr>
            <w:tcW w:type="dxa" w:w="1234"/>
          </w:tcPr>
          <w:p>
            <w:r>
              <w:rPr>
                <w:rFonts w:ascii="Calibri" w:hAnsi="Calibri"/>
                <w:sz w:val="22"/>
              </w:rPr>
              <w:t>Operating EBIT Margin (%)</w:t>
            </w:r>
          </w:p>
        </w:tc>
        <w:tc>
          <w:tcPr>
            <w:tcW w:type="dxa" w:w="1234"/>
          </w:tcPr>
          <w:p>
            <w:r>
              <w:rPr>
                <w:rFonts w:ascii="Calibri" w:hAnsi="Calibri"/>
                <w:sz w:val="22"/>
              </w:rPr>
              <w:t>21.8%</w:t>
            </w:r>
          </w:p>
        </w:tc>
        <w:tc>
          <w:tcPr>
            <w:tcW w:type="dxa" w:w="1234"/>
          </w:tcPr>
          <w:p>
            <w:r>
              <w:rPr>
                <w:rFonts w:ascii="Calibri" w:hAnsi="Calibri"/>
                <w:sz w:val="22"/>
              </w:rPr>
              <w:t>23.0%</w:t>
            </w:r>
          </w:p>
        </w:tc>
        <w:tc>
          <w:tcPr>
            <w:tcW w:type="dxa" w:w="1234"/>
          </w:tcPr>
          <w:p>
            <w:r>
              <w:rPr>
                <w:rFonts w:ascii="Calibri" w:hAnsi="Calibri"/>
                <w:sz w:val="22"/>
              </w:rPr>
              <w:t>~21.7%</w:t>
            </w:r>
          </w:p>
        </w:tc>
        <w:tc>
          <w:tcPr>
            <w:tcW w:type="dxa" w:w="1234"/>
          </w:tcPr>
          <w:p>
            <w:r>
              <w:rPr>
                <w:rFonts w:ascii="Calibri" w:hAnsi="Calibri"/>
                <w:sz w:val="22"/>
              </w:rPr>
              <w:t>-130 bps YoY</w:t>
            </w:r>
          </w:p>
        </w:tc>
        <w:tc>
          <w:tcPr>
            <w:tcW w:type="dxa" w:w="1234"/>
          </w:tcPr>
          <w:p>
            <w:r>
              <w:rPr>
                <w:rFonts w:ascii="Calibri" w:hAnsi="Calibri"/>
                <w:sz w:val="22"/>
              </w:rPr>
              <w:t>Margin expansion vs. 2025 (FY)</w:t>
            </w:r>
          </w:p>
        </w:tc>
        <w:tc>
          <w:tcPr>
            <w:tcW w:type="dxa" w:w="1234"/>
          </w:tcPr>
          <w:p>
            <w:r>
              <w:rPr>
                <w:rFonts w:ascii="Calibri" w:hAnsi="Calibri"/>
                <w:sz w:val="22"/>
              </w:rPr>
              <w:t>In line</w:t>
            </w:r>
          </w:p>
        </w:tc>
      </w:tr>
      <w:tr>
        <w:tc>
          <w:tcPr>
            <w:tcW w:type="dxa" w:w="1234"/>
          </w:tcPr>
          <w:p>
            <w:r>
              <w:rPr>
                <w:rFonts w:ascii="Calibri" w:hAnsi="Calibri"/>
                <w:sz w:val="22"/>
              </w:rPr>
              <w:t>Operating EPS ($)</w:t>
            </w:r>
          </w:p>
        </w:tc>
        <w:tc>
          <w:tcPr>
            <w:tcW w:type="dxa" w:w="1234"/>
          </w:tcPr>
          <w:p>
            <w:r>
              <w:rPr>
                <w:rFonts w:ascii="Calibri" w:hAnsi="Calibri"/>
                <w:sz w:val="22"/>
              </w:rPr>
              <w:t>$1.86</w:t>
            </w:r>
          </w:p>
        </w:tc>
        <w:tc>
          <w:tcPr>
            <w:tcW w:type="dxa" w:w="1234"/>
          </w:tcPr>
          <w:p>
            <w:r>
              <w:rPr>
                <w:rFonts w:ascii="Calibri" w:hAnsi="Calibri"/>
                <w:sz w:val="22"/>
              </w:rPr>
              <w:t>$1.66</w:t>
            </w:r>
          </w:p>
        </w:tc>
        <w:tc>
          <w:tcPr>
            <w:tcW w:type="dxa" w:w="1234"/>
          </w:tcPr>
          <w:p>
            <w:r>
              <w:rPr>
                <w:rFonts w:ascii="Calibri" w:hAnsi="Calibri"/>
                <w:sz w:val="22"/>
              </w:rPr>
              <w:t>$1.87</w:t>
            </w:r>
          </w:p>
        </w:tc>
        <w:tc>
          <w:tcPr>
            <w:tcW w:type="dxa" w:w="1234"/>
          </w:tcPr>
          <w:p>
            <w:r>
              <w:rPr>
                <w:rFonts w:ascii="Calibri" w:hAnsi="Calibri"/>
                <w:b/>
                <w:color w:val="30A46C"/>
                <w:sz w:val="22"/>
              </w:rPr>
              <w:t>+12.7%</w:t>
            </w:r>
          </w:p>
        </w:tc>
        <w:tc>
          <w:tcPr>
            <w:tcW w:type="dxa" w:w="1234"/>
          </w:tcPr>
          <w:p>
            <w:r>
              <w:rPr>
                <w:rFonts w:ascii="Calibri" w:hAnsi="Calibri"/>
                <w:sz w:val="22"/>
              </w:rPr>
              <w:t>$7.10–$7.40 (FY)</w:t>
            </w:r>
          </w:p>
        </w:tc>
        <w:tc>
          <w:tcPr>
            <w:tcW w:type="dxa" w:w="1234"/>
          </w:tcPr>
          <w:p>
            <w:r>
              <w:rPr>
                <w:rFonts w:ascii="Calibri" w:hAnsi="Calibri"/>
                <w:sz w:val="22"/>
              </w:rPr>
              <w:t>~In line with midpoint pace</w:t>
            </w:r>
          </w:p>
        </w:tc>
      </w:tr>
      <w:tr>
        <w:tc>
          <w:tcPr>
            <w:tcW w:type="dxa" w:w="1234"/>
          </w:tcPr>
          <w:p>
            <w:r>
              <w:rPr>
                <w:rFonts w:ascii="Calibri" w:hAnsi="Calibri"/>
                <w:sz w:val="22"/>
              </w:rPr>
              <w:t>Free Cash Flow ($B)</w:t>
            </w:r>
          </w:p>
        </w:tc>
        <w:tc>
          <w:tcPr>
            <w:tcW w:type="dxa" w:w="1234"/>
          </w:tcPr>
          <w:p>
            <w:r>
              <w:rPr>
                <w:rFonts w:ascii="Calibri" w:hAnsi="Calibri"/>
                <w:sz w:val="22"/>
              </w:rPr>
              <w:t>$1.66B</w:t>
            </w:r>
          </w:p>
        </w:tc>
        <w:tc>
          <w:tcPr>
            <w:tcW w:type="dxa" w:w="1234"/>
          </w:tcPr>
          <w:p>
            <w:r>
              <w:rPr>
                <w:rFonts w:ascii="Calibri" w:hAnsi="Calibri"/>
                <w:sz w:val="22"/>
              </w:rPr>
              <w:t>$2.11B</w:t>
            </w:r>
          </w:p>
        </w:tc>
        <w:tc>
          <w:tcPr>
            <w:tcW w:type="dxa" w:w="1234"/>
          </w:tcPr>
          <w:p>
            <w:r>
              <w:rPr>
                <w:rFonts w:ascii="Calibri" w:hAnsi="Calibri"/>
                <w:sz w:val="22"/>
              </w:rPr>
              <w:t>$2.04B</w:t>
            </w:r>
          </w:p>
        </w:tc>
        <w:tc>
          <w:tcPr>
            <w:tcW w:type="dxa" w:w="1234"/>
          </w:tcPr>
          <w:p>
            <w:r>
              <w:rPr>
                <w:rFonts w:ascii="Calibri" w:hAnsi="Calibri"/>
                <w:sz w:val="22"/>
              </w:rPr>
              <w:t>-3.3% YoY</w:t>
            </w:r>
          </w:p>
        </w:tc>
        <w:tc>
          <w:tcPr>
            <w:tcW w:type="dxa" w:w="1234"/>
          </w:tcPr>
          <w:p>
            <w:r>
              <w:rPr>
                <w:rFonts w:ascii="Calibri" w:hAnsi="Calibri"/>
                <w:sz w:val="22"/>
              </w:rPr>
              <w:t>$8.0B–$8.4B (FY)</w:t>
            </w:r>
          </w:p>
        </w:tc>
        <w:tc>
          <w:tcPr>
            <w:tcW w:type="dxa" w:w="1234"/>
          </w:tcPr>
          <w:p>
            <w:r>
              <w:rPr>
                <w:rFonts w:ascii="Calibri" w:hAnsi="Calibri"/>
                <w:sz w:val="22"/>
              </w:rPr>
              <w:t>In line with midpoint pace</w:t>
            </w:r>
          </w:p>
        </w:tc>
      </w:tr>
      <w:tr>
        <w:tc>
          <w:tcPr>
            <w:tcW w:type="dxa" w:w="1234"/>
          </w:tcPr>
          <w:p>
            <w:r>
              <w:rPr>
                <w:rFonts w:ascii="Calibri" w:hAnsi="Calibri"/>
                <w:sz w:val="22"/>
              </w:rPr>
              <w:t>Orders ($B)</w:t>
            </w:r>
          </w:p>
        </w:tc>
        <w:tc>
          <w:tcPr>
            <w:tcW w:type="dxa" w:w="1234"/>
          </w:tcPr>
          <w:p>
            <w:r>
              <w:rPr>
                <w:rFonts w:ascii="Calibri" w:hAnsi="Calibri"/>
                <w:sz w:val="22"/>
              </w:rPr>
              <w:t>$23.5B</w:t>
            </w:r>
          </w:p>
        </w:tc>
        <w:tc>
          <w:tcPr>
            <w:tcW w:type="dxa" w:w="1234"/>
          </w:tcPr>
          <w:p>
            <w:r>
              <w:rPr>
                <w:rFonts w:ascii="Calibri" w:hAnsi="Calibri"/>
                <w:sz w:val="22"/>
              </w:rPr>
              <w:t>$14.2B</w:t>
            </w:r>
          </w:p>
        </w:tc>
        <w:tc>
          <w:tcPr>
            <w:tcW w:type="dxa" w:w="1234"/>
          </w:tcPr>
          <w:p>
            <w:r>
              <w:rPr>
                <w:rFonts w:ascii="Calibri" w:hAnsi="Calibri"/>
                <w:sz w:val="22"/>
              </w:rPr>
              <w:t>$14.5B</w:t>
            </w:r>
          </w:p>
        </w:tc>
        <w:tc>
          <w:tcPr>
            <w:tcW w:type="dxa" w:w="1234"/>
          </w:tcPr>
          <w:p>
            <w:r>
              <w:rPr>
                <w:rFonts w:ascii="Calibri" w:hAnsi="Calibri"/>
                <w:sz w:val="22"/>
              </w:rPr>
              <w:t>N/A — Q1 was anomalously high</w:t>
            </w:r>
          </w:p>
        </w:tc>
        <w:tc>
          <w:tcPr>
            <w:tcW w:type="dxa" w:w="1234"/>
          </w:tcPr>
          <w:p>
            <w:r>
              <w:rPr>
                <w:rFonts w:ascii="Calibri" w:hAnsi="Calibri"/>
                <w:sz w:val="22"/>
              </w:rPr>
              <w:t>N/A (no quarterly guide)</w:t>
            </w:r>
          </w:p>
        </w:tc>
        <w:tc>
          <w:tcPr>
            <w:tcW w:type="dxa" w:w="1234"/>
          </w:tcPr>
          <w:p>
            <w:r>
              <w:rPr>
                <w:rFonts w:ascii="Calibri" w:hAnsi="Calibri"/>
                <w:sz w:val="22"/>
              </w:rPr>
              <w:t>N/A</w:t>
            </w:r>
          </w:p>
        </w:tc>
      </w:tr>
    </w:tbl>
    <w:p>
      <w:r>
        <w:rPr>
          <w:rFonts w:ascii="Calibri" w:hAnsi="Calibri"/>
          <w:i/>
          <w:color w:val="525866"/>
          <w:sz w:val="22"/>
        </w:rPr>
        <w:t>Sources: Visible Alpha Consensus and Actuals Data; GE Q1 2026 Earnings Call (April 21, 2026). Note: Q2 2026 consensus estimates as of latest available. Q1 2026 orders of $23.5B were anomalously elevated (+87% YoY) due to a surge in commercial equipment orders (more than tripling) and record defense orders; Q2 2026 orders consensus of ~$14.5B reflects normalization.</w:t>
      </w:r>
    </w:p>
    <w:p>
      <w:pPr>
        <w:pStyle w:val="Heading3"/>
      </w:pPr>
      <w:r>
        <w:rPr>
          <w:rFonts w:ascii="Calibri" w:hAnsi="Calibri"/>
          <w:b/>
          <w:color w:val="3B4259"/>
          <w:sz w:val="24"/>
        </w:rPr>
        <w:t>Table 2 — Beat/Miss History (Last 8 Quarters, Top 2 KPIs)</w:t>
      </w:r>
    </w:p>
    <w:p>
      <w:r>
        <w:rPr>
          <w:rFonts w:ascii="Calibri" w:hAnsi="Calibri"/>
          <w:b/>
          <w:color w:val="525866"/>
          <w:sz w:val="22"/>
        </w:rPr>
        <w:t xml:space="preserve">Top 2 KPIs: </w:t>
      </w:r>
      <w:r>
        <w:rPr>
          <w:rFonts w:ascii="Calibri" w:hAnsi="Calibri"/>
          <w:color w:val="525866"/>
          <w:sz w:val="22"/>
        </w:rPr>
        <w:t>Operating EPS and Commercial Services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$1.86</w:t>
            </w:r>
          </w:p>
        </w:tc>
        <w:tc>
          <w:tcPr>
            <w:tcW w:type="dxa" w:w="1440"/>
          </w:tcPr>
          <w:p>
            <w:r>
              <w:rPr>
                <w:rFonts w:ascii="Calibri" w:hAnsi="Calibri"/>
                <w:sz w:val="22"/>
              </w:rPr>
              <w:t>$1.61</w:t>
            </w:r>
          </w:p>
        </w:tc>
        <w:tc>
          <w:tcPr>
            <w:tcW w:type="dxa" w:w="1440"/>
          </w:tcPr>
          <w:p>
            <w:r>
              <w:rPr>
                <w:rFonts w:ascii="Calibri" w:hAnsi="Calibri"/>
                <w:b/>
                <w:color w:val="30A46C"/>
                <w:sz w:val="22"/>
              </w:rPr>
              <w:t>+15.5%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Comm. Services Rev.</w:t>
            </w:r>
          </w:p>
        </w:tc>
        <w:tc>
          <w:tcPr>
            <w:tcW w:type="dxa" w:w="1440"/>
          </w:tcPr>
          <w:p>
            <w:r>
              <w:rPr>
                <w:rFonts w:ascii="Calibri" w:hAnsi="Calibri"/>
                <w:sz w:val="22"/>
              </w:rPr>
              <w:t>$6.82B</w:t>
            </w:r>
          </w:p>
        </w:tc>
        <w:tc>
          <w:tcPr>
            <w:tcW w:type="dxa" w:w="1440"/>
          </w:tcPr>
          <w:p>
            <w:r>
              <w:rPr>
                <w:rFonts w:ascii="Calibri" w:hAnsi="Calibri"/>
                <w:sz w:val="22"/>
              </w:rPr>
              <w:t>$6.22B</w:t>
            </w:r>
          </w:p>
        </w:tc>
        <w:tc>
          <w:tcPr>
            <w:tcW w:type="dxa" w:w="1440"/>
          </w:tcPr>
          <w:p>
            <w:r>
              <w:rPr>
                <w:rFonts w:ascii="Calibri" w:hAnsi="Calibri"/>
                <w:b/>
                <w:color w:val="30A46C"/>
                <w:sz w:val="22"/>
              </w:rPr>
              <w:t>+9.6%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$1.57</w:t>
            </w:r>
          </w:p>
        </w:tc>
        <w:tc>
          <w:tcPr>
            <w:tcW w:type="dxa" w:w="1440"/>
          </w:tcPr>
          <w:p>
            <w:r>
              <w:rPr>
                <w:rFonts w:ascii="Calibri" w:hAnsi="Calibri"/>
                <w:sz w:val="22"/>
              </w:rPr>
              <w:t>$1.43</w:t>
            </w:r>
          </w:p>
        </w:tc>
        <w:tc>
          <w:tcPr>
            <w:tcW w:type="dxa" w:w="1440"/>
          </w:tcPr>
          <w:p>
            <w:r>
              <w:rPr>
                <w:rFonts w:ascii="Calibri" w:hAnsi="Calibri"/>
                <w:b/>
                <w:color w:val="30A46C"/>
                <w:sz w:val="22"/>
              </w:rPr>
              <w:t>+9.8%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Comm. Services Rev.</w:t>
            </w:r>
          </w:p>
        </w:tc>
        <w:tc>
          <w:tcPr>
            <w:tcW w:type="dxa" w:w="1440"/>
          </w:tcPr>
          <w:p>
            <w:r>
              <w:rPr>
                <w:rFonts w:ascii="Calibri" w:hAnsi="Calibri"/>
                <w:sz w:val="22"/>
              </w:rPr>
              <w:t>$7.01B</w:t>
            </w:r>
          </w:p>
        </w:tc>
        <w:tc>
          <w:tcPr>
            <w:tcW w:type="dxa" w:w="1440"/>
          </w:tcPr>
          <w:p>
            <w:r>
              <w:rPr>
                <w:rFonts w:ascii="Calibri" w:hAnsi="Calibri"/>
                <w:sz w:val="22"/>
              </w:rPr>
              <w:t>$6.41B</w:t>
            </w:r>
          </w:p>
        </w:tc>
        <w:tc>
          <w:tcPr>
            <w:tcW w:type="dxa" w:w="1440"/>
          </w:tcPr>
          <w:p>
            <w:r>
              <w:rPr>
                <w:rFonts w:ascii="Calibri" w:hAnsi="Calibri"/>
                <w:b/>
                <w:color w:val="30A46C"/>
                <w:sz w:val="22"/>
              </w:rPr>
              <w:t>+9.4%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$1.66</w:t>
            </w:r>
          </w:p>
        </w:tc>
        <w:tc>
          <w:tcPr>
            <w:tcW w:type="dxa" w:w="1440"/>
          </w:tcPr>
          <w:p>
            <w:r>
              <w:rPr>
                <w:rFonts w:ascii="Calibri" w:hAnsi="Calibri"/>
                <w:sz w:val="22"/>
              </w:rPr>
              <w:t>$1.46</w:t>
            </w:r>
          </w:p>
        </w:tc>
        <w:tc>
          <w:tcPr>
            <w:tcW w:type="dxa" w:w="1440"/>
          </w:tcPr>
          <w:p>
            <w:r>
              <w:rPr>
                <w:rFonts w:ascii="Calibri" w:hAnsi="Calibri"/>
                <w:b/>
                <w:color w:val="30A46C"/>
                <w:sz w:val="22"/>
              </w:rPr>
              <w:t>+13.7%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Comm. Services Rev.</w:t>
            </w:r>
          </w:p>
        </w:tc>
        <w:tc>
          <w:tcPr>
            <w:tcW w:type="dxa" w:w="1440"/>
          </w:tcPr>
          <w:p>
            <w:r>
              <w:rPr>
                <w:rFonts w:ascii="Calibri" w:hAnsi="Calibri"/>
                <w:sz w:val="22"/>
              </w:rPr>
              <w:t>$6.63B</w:t>
            </w:r>
          </w:p>
        </w:tc>
        <w:tc>
          <w:tcPr>
            <w:tcW w:type="dxa" w:w="1440"/>
          </w:tcPr>
          <w:p>
            <w:r>
              <w:rPr>
                <w:rFonts w:ascii="Calibri" w:hAnsi="Calibri"/>
                <w:sz w:val="22"/>
              </w:rPr>
              <w:t>$6.17B</w:t>
            </w:r>
          </w:p>
        </w:tc>
        <w:tc>
          <w:tcPr>
            <w:tcW w:type="dxa" w:w="1440"/>
          </w:tcPr>
          <w:p>
            <w:r>
              <w:rPr>
                <w:rFonts w:ascii="Calibri" w:hAnsi="Calibri"/>
                <w:b/>
                <w:color w:val="30A46C"/>
                <w:sz w:val="22"/>
              </w:rPr>
              <w:t>+7.5%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$1.66</w:t>
            </w:r>
          </w:p>
        </w:tc>
        <w:tc>
          <w:tcPr>
            <w:tcW w:type="dxa" w:w="1440"/>
          </w:tcPr>
          <w:p>
            <w:r>
              <w:rPr>
                <w:rFonts w:ascii="Calibri" w:hAnsi="Calibri"/>
                <w:sz w:val="22"/>
              </w:rPr>
              <w:t>$1.44</w:t>
            </w:r>
          </w:p>
        </w:tc>
        <w:tc>
          <w:tcPr>
            <w:tcW w:type="dxa" w:w="1440"/>
          </w:tcPr>
          <w:p>
            <w:r>
              <w:rPr>
                <w:rFonts w:ascii="Calibri" w:hAnsi="Calibri"/>
                <w:b/>
                <w:color w:val="30A46C"/>
                <w:sz w:val="22"/>
              </w:rPr>
              <w:t>+15.3%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Comm. Services Rev.</w:t>
            </w:r>
          </w:p>
        </w:tc>
        <w:tc>
          <w:tcPr>
            <w:tcW w:type="dxa" w:w="1440"/>
          </w:tcPr>
          <w:p>
            <w:r>
              <w:rPr>
                <w:rFonts w:ascii="Calibri" w:hAnsi="Calibri"/>
                <w:sz w:val="22"/>
              </w:rPr>
              <w:t>$5.88B</w:t>
            </w:r>
          </w:p>
        </w:tc>
        <w:tc>
          <w:tcPr>
            <w:tcW w:type="dxa" w:w="1440"/>
          </w:tcPr>
          <w:p>
            <w:r>
              <w:rPr>
                <w:rFonts w:ascii="Calibri" w:hAnsi="Calibri"/>
                <w:sz w:val="22"/>
              </w:rPr>
              <w:t>$5.45B</w:t>
            </w:r>
          </w:p>
        </w:tc>
        <w:tc>
          <w:tcPr>
            <w:tcW w:type="dxa" w:w="1440"/>
          </w:tcPr>
          <w:p>
            <w:r>
              <w:rPr>
                <w:rFonts w:ascii="Calibri" w:hAnsi="Calibri"/>
                <w:b/>
                <w:color w:val="30A46C"/>
                <w:sz w:val="22"/>
              </w:rPr>
              <w:t>+7.9%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$1.49</w:t>
            </w:r>
          </w:p>
        </w:tc>
        <w:tc>
          <w:tcPr>
            <w:tcW w:type="dxa" w:w="1440"/>
          </w:tcPr>
          <w:p>
            <w:r>
              <w:rPr>
                <w:rFonts w:ascii="Calibri" w:hAnsi="Calibri"/>
                <w:sz w:val="22"/>
              </w:rPr>
              <w:t>$1.26</w:t>
            </w:r>
          </w:p>
        </w:tc>
        <w:tc>
          <w:tcPr>
            <w:tcW w:type="dxa" w:w="1440"/>
          </w:tcPr>
          <w:p>
            <w:r>
              <w:rPr>
                <w:rFonts w:ascii="Calibri" w:hAnsi="Calibri"/>
                <w:b/>
                <w:color w:val="30A46C"/>
                <w:sz w:val="22"/>
              </w:rPr>
              <w:t>+18.3%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Comm. Services Rev.</w:t>
            </w:r>
          </w:p>
        </w:tc>
        <w:tc>
          <w:tcPr>
            <w:tcW w:type="dxa" w:w="1440"/>
          </w:tcPr>
          <w:p>
            <w:r>
              <w:rPr>
                <w:rFonts w:ascii="Calibri" w:hAnsi="Calibri"/>
                <w:sz w:val="22"/>
              </w:rPr>
              <w:t>$4.92B</w:t>
            </w:r>
          </w:p>
        </w:tc>
        <w:tc>
          <w:tcPr>
            <w:tcW w:type="dxa" w:w="1440"/>
          </w:tcPr>
          <w:p>
            <w:r>
              <w:rPr>
                <w:rFonts w:ascii="Calibri" w:hAnsi="Calibri"/>
                <w:sz w:val="22"/>
              </w:rPr>
              <w:t>$5.12B</w:t>
            </w:r>
          </w:p>
        </w:tc>
        <w:tc>
          <w:tcPr>
            <w:tcW w:type="dxa" w:w="1440"/>
          </w:tcPr>
          <w:p>
            <w:r>
              <w:rPr>
                <w:rFonts w:ascii="Calibri" w:hAnsi="Calibri"/>
                <w:b/>
                <w:color w:val="E5484D"/>
                <w:sz w:val="22"/>
              </w:rPr>
              <w:t>-4.0%</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$1.32</w:t>
            </w:r>
          </w:p>
        </w:tc>
        <w:tc>
          <w:tcPr>
            <w:tcW w:type="dxa" w:w="1440"/>
          </w:tcPr>
          <w:p>
            <w:r>
              <w:rPr>
                <w:rFonts w:ascii="Calibri" w:hAnsi="Calibri"/>
                <w:sz w:val="22"/>
              </w:rPr>
              <w:t>$1.04</w:t>
            </w:r>
          </w:p>
        </w:tc>
        <w:tc>
          <w:tcPr>
            <w:tcW w:type="dxa" w:w="1440"/>
          </w:tcPr>
          <w:p>
            <w:r>
              <w:rPr>
                <w:rFonts w:ascii="Calibri" w:hAnsi="Calibri"/>
                <w:b/>
                <w:color w:val="30A46C"/>
                <w:sz w:val="22"/>
              </w:rPr>
              <w:t>+26.9%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Comm. Services Rev.</w:t>
            </w:r>
          </w:p>
        </w:tc>
        <w:tc>
          <w:tcPr>
            <w:tcW w:type="dxa" w:w="1440"/>
          </w:tcPr>
          <w:p>
            <w:r>
              <w:rPr>
                <w:rFonts w:ascii="Calibri" w:hAnsi="Calibri"/>
                <w:sz w:val="22"/>
              </w:rPr>
              <w:t>$5.36B</w:t>
            </w:r>
          </w:p>
        </w:tc>
        <w:tc>
          <w:tcPr>
            <w:tcW w:type="dxa" w:w="1440"/>
          </w:tcPr>
          <w:p>
            <w:r>
              <w:rPr>
                <w:rFonts w:ascii="Calibri" w:hAnsi="Calibri"/>
                <w:sz w:val="22"/>
              </w:rPr>
              <w:t>$5.59B</w:t>
            </w:r>
          </w:p>
        </w:tc>
        <w:tc>
          <w:tcPr>
            <w:tcW w:type="dxa" w:w="1440"/>
          </w:tcPr>
          <w:p>
            <w:r>
              <w:rPr>
                <w:rFonts w:ascii="Calibri" w:hAnsi="Calibri"/>
                <w:b/>
                <w:color w:val="E5484D"/>
                <w:sz w:val="22"/>
              </w:rPr>
              <w:t>-4.1%</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$1.15</w:t>
            </w:r>
          </w:p>
        </w:tc>
        <w:tc>
          <w:tcPr>
            <w:tcW w:type="dxa" w:w="1440"/>
          </w:tcPr>
          <w:p>
            <w:r>
              <w:rPr>
                <w:rFonts w:ascii="Calibri" w:hAnsi="Calibri"/>
                <w:sz w:val="22"/>
              </w:rPr>
              <w:t>$1.14</w:t>
            </w:r>
          </w:p>
        </w:tc>
        <w:tc>
          <w:tcPr>
            <w:tcW w:type="dxa" w:w="1440"/>
          </w:tcPr>
          <w:p>
            <w:r>
              <w:rPr>
                <w:rFonts w:ascii="Calibri" w:hAnsi="Calibri"/>
                <w:sz w:val="22"/>
              </w:rPr>
              <w:t>+0.9%</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Comm. Services Rev.</w:t>
            </w:r>
          </w:p>
        </w:tc>
        <w:tc>
          <w:tcPr>
            <w:tcW w:type="dxa" w:w="1440"/>
          </w:tcPr>
          <w:p>
            <w:r>
              <w:rPr>
                <w:rFonts w:ascii="Calibri" w:hAnsi="Calibri"/>
                <w:sz w:val="22"/>
              </w:rPr>
              <w:t>$5.32B</w:t>
            </w:r>
          </w:p>
        </w:tc>
        <w:tc>
          <w:tcPr>
            <w:tcW w:type="dxa" w:w="1440"/>
          </w:tcPr>
          <w:p>
            <w:r>
              <w:rPr>
                <w:rFonts w:ascii="Calibri" w:hAnsi="Calibri"/>
                <w:sz w:val="22"/>
              </w:rPr>
              <w:t>$5.43B</w:t>
            </w:r>
          </w:p>
        </w:tc>
        <w:tc>
          <w:tcPr>
            <w:tcW w:type="dxa" w:w="1440"/>
          </w:tcPr>
          <w:p>
            <w:r>
              <w:rPr>
                <w:rFonts w:ascii="Calibri" w:hAnsi="Calibri"/>
                <w:b/>
                <w:color w:val="E5484D"/>
                <w:sz w:val="22"/>
              </w:rPr>
              <w:t>-2.1%</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$1.20</w:t>
            </w:r>
          </w:p>
        </w:tc>
        <w:tc>
          <w:tcPr>
            <w:tcW w:type="dxa" w:w="1440"/>
          </w:tcPr>
          <w:p>
            <w:r>
              <w:rPr>
                <w:rFonts w:ascii="Calibri" w:hAnsi="Calibri"/>
                <w:sz w:val="22"/>
              </w:rPr>
              <w:t>$0.95</w:t>
            </w:r>
          </w:p>
        </w:tc>
        <w:tc>
          <w:tcPr>
            <w:tcW w:type="dxa" w:w="1440"/>
          </w:tcPr>
          <w:p>
            <w:r>
              <w:rPr>
                <w:rFonts w:ascii="Calibri" w:hAnsi="Calibri"/>
                <w:b/>
                <w:color w:val="30A46C"/>
                <w:sz w:val="22"/>
              </w:rPr>
              <w:t>+26.3%</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Comm. Services Rev.</w:t>
            </w:r>
          </w:p>
        </w:tc>
        <w:tc>
          <w:tcPr>
            <w:tcW w:type="dxa" w:w="1440"/>
          </w:tcPr>
          <w:p>
            <w:r>
              <w:rPr>
                <w:rFonts w:ascii="Calibri" w:hAnsi="Calibri"/>
                <w:sz w:val="22"/>
              </w:rPr>
              <w:t>$4.71B</w:t>
            </w:r>
          </w:p>
        </w:tc>
        <w:tc>
          <w:tcPr>
            <w:tcW w:type="dxa" w:w="1440"/>
          </w:tcPr>
          <w:p>
            <w:r>
              <w:rPr>
                <w:rFonts w:ascii="Calibri" w:hAnsi="Calibri"/>
                <w:sz w:val="22"/>
              </w:rPr>
              <w:t>$4.70B</w:t>
            </w:r>
          </w:p>
        </w:tc>
        <w:tc>
          <w:tcPr>
            <w:tcW w:type="dxa" w:w="1440"/>
          </w:tcPr>
          <w:p>
            <w:r>
              <w:rPr>
                <w:rFonts w:ascii="Calibri" w:hAnsi="Calibri"/>
                <w:sz w:val="22"/>
              </w:rPr>
              <w:t>+0.2%</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GE has beaten operating EPS consensus in 7 of the last 8 quarters, with an average beat of ~13%; commercial services revenue has beaten in 5 of the last 8 quarters, with misses concentrated in Q4 2024, Q3 2024, and Q1 2025 — all periods of supply-chain-constrained shop visit output that have since been resolved. The recent trend (last 4 quarters) shows consistent beats on both KPIs, reinforcing the constructive setup.</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maintained at the Q1 2026 levels (not raised), but management’s tone has incrementally improved since the April 21 call — spare parts orders accelerating to ~40% YoY and parked aircraft declining are the two most important incremental data points, and both point toward the high end of the existing ranges.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Q4 2025 Earnings Baseline (Jan 22, 2026)</w:t>
            </w:r>
          </w:p>
        </w:tc>
        <w:tc>
          <w:tcPr>
            <w:tcW w:type="dxa" w:w="1728"/>
            <w:shd w:val="clear" w:color="auto" w:fill="3B4259"/>
          </w:tcPr>
          <w:p>
            <w:r>
              <w:rPr>
                <w:rFonts w:ascii="Calibri" w:hAnsi="Calibri"/>
                <w:b/>
                <w:color w:val="FFFFFF"/>
                <w:sz w:val="22"/>
              </w:rPr>
              <w:t>Q1 2026 Earnings (Apr 21, 2026)</w:t>
            </w:r>
          </w:p>
        </w:tc>
        <w:tc>
          <w:tcPr>
            <w:tcW w:type="dxa" w:w="1728"/>
            <w:shd w:val="clear" w:color="auto" w:fill="3B4259"/>
          </w:tcPr>
          <w:p>
            <w:r>
              <w:rPr>
                <w:rFonts w:ascii="Calibri" w:hAnsi="Calibri"/>
                <w:b/>
                <w:color w:val="FFFFFF"/>
                <w:sz w:val="22"/>
              </w:rPr>
              <w:t>Post-Q1 Update (Bernstein, May 2026)</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FY 2026 Revenue Growth</w:t>
            </w:r>
          </w:p>
        </w:tc>
        <w:tc>
          <w:tcPr>
            <w:tcW w:type="dxa" w:w="1728"/>
          </w:tcPr>
          <w:p>
            <w:r>
              <w:rPr>
                <w:rFonts w:ascii="Calibri" w:hAnsi="Calibri"/>
                <w:sz w:val="22"/>
              </w:rPr>
              <w:t>Low double-digit growth</w:t>
            </w:r>
          </w:p>
        </w:tc>
        <w:tc>
          <w:tcPr>
            <w:tcW w:type="dxa" w:w="1728"/>
          </w:tcPr>
          <w:p>
            <w:r>
              <w:rPr>
                <w:rFonts w:ascii="Calibri" w:hAnsi="Calibri"/>
                <w:sz w:val="22"/>
              </w:rPr>
              <w:t>Maintained; trending high end</w:t>
            </w:r>
          </w:p>
        </w:tc>
        <w:tc>
          <w:tcPr>
            <w:tcW w:type="dxa" w:w="1728"/>
          </w:tcPr>
          <w:p>
            <w:r>
              <w:rPr>
                <w:rFonts w:ascii="Calibri" w:hAnsi="Calibri"/>
                <w:sz w:val="22"/>
              </w:rPr>
              <w:t>No change; high-end bias reiterated</w:t>
            </w:r>
          </w:p>
        </w:tc>
        <w:tc>
          <w:tcPr>
            <w:tcW w:type="dxa" w:w="1728"/>
          </w:tcPr>
          <w:p>
            <w:r>
              <w:rPr>
                <w:rFonts w:ascii="Calibri" w:hAnsi="Calibri"/>
                <w:b/>
                <w:color w:val="30A46C"/>
                <w:sz w:val="22"/>
              </w:rPr>
              <w:t>→ Stable / High-End Bias</w:t>
            </w:r>
          </w:p>
        </w:tc>
      </w:tr>
      <w:tr>
        <w:tc>
          <w:tcPr>
            <w:tcW w:type="dxa" w:w="1728"/>
          </w:tcPr>
          <w:p>
            <w:r>
              <w:rPr>
                <w:rFonts w:ascii="Calibri" w:hAnsi="Calibri"/>
                <w:sz w:val="22"/>
              </w:rPr>
              <w:t>FY 2026 Operating Profit</w:t>
            </w:r>
          </w:p>
        </w:tc>
        <w:tc>
          <w:tcPr>
            <w:tcW w:type="dxa" w:w="1728"/>
          </w:tcPr>
          <w:p>
            <w:r>
              <w:rPr>
                <w:rFonts w:ascii="Calibri" w:hAnsi="Calibri"/>
                <w:sz w:val="22"/>
              </w:rPr>
              <w:t>$9.85B–$10.25B</w:t>
            </w:r>
          </w:p>
        </w:tc>
        <w:tc>
          <w:tcPr>
            <w:tcW w:type="dxa" w:w="1728"/>
          </w:tcPr>
          <w:p>
            <w:r>
              <w:rPr>
                <w:rFonts w:ascii="Calibri" w:hAnsi="Calibri"/>
                <w:sz w:val="22"/>
              </w:rPr>
              <w:t>Maintained; trending high end</w:t>
            </w:r>
          </w:p>
        </w:tc>
        <w:tc>
          <w:tcPr>
            <w:tcW w:type="dxa" w:w="1728"/>
          </w:tcPr>
          <w:p>
            <w:r>
              <w:rPr>
                <w:rFonts w:ascii="Calibri" w:hAnsi="Calibri"/>
                <w:sz w:val="22"/>
              </w:rPr>
              <w:t>No change; high-end bias reiterated</w:t>
            </w:r>
          </w:p>
        </w:tc>
        <w:tc>
          <w:tcPr>
            <w:tcW w:type="dxa" w:w="1728"/>
          </w:tcPr>
          <w:p>
            <w:r>
              <w:rPr>
                <w:rFonts w:ascii="Calibri" w:hAnsi="Calibri"/>
                <w:b/>
                <w:color w:val="30A46C"/>
                <w:sz w:val="22"/>
              </w:rPr>
              <w:t>→ Stable / High-End Bias</w:t>
            </w:r>
          </w:p>
        </w:tc>
      </w:tr>
      <w:tr>
        <w:tc>
          <w:tcPr>
            <w:tcW w:type="dxa" w:w="1728"/>
          </w:tcPr>
          <w:p>
            <w:r>
              <w:rPr>
                <w:rFonts w:ascii="Calibri" w:hAnsi="Calibri"/>
                <w:sz w:val="22"/>
              </w:rPr>
              <w:t>FY 2026 Operating EPS</w:t>
            </w:r>
          </w:p>
        </w:tc>
        <w:tc>
          <w:tcPr>
            <w:tcW w:type="dxa" w:w="1728"/>
          </w:tcPr>
          <w:p>
            <w:r>
              <w:rPr>
                <w:rFonts w:ascii="Calibri" w:hAnsi="Calibri"/>
                <w:sz w:val="22"/>
              </w:rPr>
              <w:t>$7.10–$7.40</w:t>
            </w:r>
          </w:p>
        </w:tc>
        <w:tc>
          <w:tcPr>
            <w:tcW w:type="dxa" w:w="1728"/>
          </w:tcPr>
          <w:p>
            <w:r>
              <w:rPr>
                <w:rFonts w:ascii="Calibri" w:hAnsi="Calibri"/>
                <w:sz w:val="22"/>
              </w:rPr>
              <w:t>Maintained; trending high end</w:t>
            </w:r>
          </w:p>
        </w:tc>
        <w:tc>
          <w:tcPr>
            <w:tcW w:type="dxa" w:w="1728"/>
          </w:tcPr>
          <w:p>
            <w:r>
              <w:rPr>
                <w:rFonts w:ascii="Calibri" w:hAnsi="Calibri"/>
                <w:sz w:val="22"/>
              </w:rPr>
              <w:t>No change; high-end bias reiterated</w:t>
            </w:r>
          </w:p>
        </w:tc>
        <w:tc>
          <w:tcPr>
            <w:tcW w:type="dxa" w:w="1728"/>
          </w:tcPr>
          <w:p>
            <w:r>
              <w:rPr>
                <w:rFonts w:ascii="Calibri" w:hAnsi="Calibri"/>
                <w:b/>
                <w:color w:val="30A46C"/>
                <w:sz w:val="22"/>
              </w:rPr>
              <w:t>→ Stable / High-End Bias</w:t>
            </w:r>
          </w:p>
        </w:tc>
      </w:tr>
      <w:tr>
        <w:tc>
          <w:tcPr>
            <w:tcW w:type="dxa" w:w="1728"/>
          </w:tcPr>
          <w:p>
            <w:r>
              <w:rPr>
                <w:rFonts w:ascii="Calibri" w:hAnsi="Calibri"/>
                <w:sz w:val="22"/>
              </w:rPr>
              <w:t>FY 2026 Free Cash Flow</w:t>
            </w:r>
          </w:p>
        </w:tc>
        <w:tc>
          <w:tcPr>
            <w:tcW w:type="dxa" w:w="1728"/>
          </w:tcPr>
          <w:p>
            <w:r>
              <w:rPr>
                <w:rFonts w:ascii="Calibri" w:hAnsi="Calibri"/>
                <w:sz w:val="22"/>
              </w:rPr>
              <w:t>$8.0B–$8.4B</w:t>
            </w:r>
          </w:p>
        </w:tc>
        <w:tc>
          <w:tcPr>
            <w:tcW w:type="dxa" w:w="1728"/>
          </w:tcPr>
          <w:p>
            <w:r>
              <w:rPr>
                <w:rFonts w:ascii="Calibri" w:hAnsi="Calibri"/>
                <w:sz w:val="22"/>
              </w:rPr>
              <w:t>Maintained; trending high end</w:t>
            </w:r>
          </w:p>
        </w:tc>
        <w:tc>
          <w:tcPr>
            <w:tcW w:type="dxa" w:w="1728"/>
          </w:tcPr>
          <w:p>
            <w:r>
              <w:rPr>
                <w:rFonts w:ascii="Calibri" w:hAnsi="Calibri"/>
                <w:sz w:val="22"/>
              </w:rPr>
              <w:t>No change; high-end bias reiterated</w:t>
            </w:r>
          </w:p>
        </w:tc>
        <w:tc>
          <w:tcPr>
            <w:tcW w:type="dxa" w:w="1728"/>
          </w:tcPr>
          <w:p>
            <w:r>
              <w:rPr>
                <w:rFonts w:ascii="Calibri" w:hAnsi="Calibri"/>
                <w:b/>
                <w:color w:val="30A46C"/>
                <w:sz w:val="22"/>
              </w:rPr>
              <w:t>→ Stable / High-End Bias</w:t>
            </w:r>
          </w:p>
        </w:tc>
      </w:tr>
      <w:tr>
        <w:tc>
          <w:tcPr>
            <w:tcW w:type="dxa" w:w="1728"/>
          </w:tcPr>
          <w:p>
            <w:r>
              <w:rPr>
                <w:rFonts w:ascii="Calibri" w:hAnsi="Calibri"/>
                <w:sz w:val="22"/>
              </w:rPr>
              <w:t>FY 2026 Services Revenue Growth</w:t>
            </w:r>
          </w:p>
        </w:tc>
        <w:tc>
          <w:tcPr>
            <w:tcW w:type="dxa" w:w="1728"/>
          </w:tcPr>
          <w:p>
            <w:r>
              <w:rPr>
                <w:rFonts w:ascii="Calibri" w:hAnsi="Calibri"/>
                <w:sz w:val="22"/>
              </w:rPr>
              <w:t>~$3.5B YoY growth</w:t>
            </w:r>
          </w:p>
        </w:tc>
        <w:tc>
          <w:tcPr>
            <w:tcW w:type="dxa" w:w="1728"/>
          </w:tcPr>
          <w:p>
            <w:r>
              <w:rPr>
                <w:rFonts w:ascii="Calibri" w:hAnsi="Calibri"/>
                <w:b/>
                <w:sz w:val="22"/>
              </w:rPr>
              <w:t>Upgraded to ~$4B YoY growth</w:t>
            </w:r>
          </w:p>
        </w:tc>
        <w:tc>
          <w:tcPr>
            <w:tcW w:type="dxa" w:w="1728"/>
          </w:tcPr>
          <w:p>
            <w:r>
              <w:rPr>
                <w:rFonts w:ascii="Calibri" w:hAnsi="Calibri"/>
                <w:sz w:val="22"/>
              </w:rPr>
              <w:t>Maintained at ~$4B; spare parts orders accelerating to ~40% YoY</w:t>
            </w:r>
          </w:p>
        </w:tc>
        <w:tc>
          <w:tcPr>
            <w:tcW w:type="dxa" w:w="1728"/>
          </w:tcPr>
          <w:p>
            <w:r>
              <w:rPr>
                <w:rFonts w:ascii="Calibri" w:hAnsi="Calibri"/>
                <w:b/>
                <w:color w:val="30A46C"/>
                <w:sz w:val="22"/>
              </w:rPr>
              <w:t>↑ Upgraded</w:t>
            </w:r>
          </w:p>
        </w:tc>
      </w:tr>
      <w:tr>
        <w:tc>
          <w:tcPr>
            <w:tcW w:type="dxa" w:w="1728"/>
          </w:tcPr>
          <w:p>
            <w:r>
              <w:rPr>
                <w:rFonts w:ascii="Calibri" w:hAnsi="Calibri"/>
                <w:sz w:val="22"/>
              </w:rPr>
              <w:t>Full-Year Departures Outlook</w:t>
            </w:r>
          </w:p>
        </w:tc>
        <w:tc>
          <w:tcPr>
            <w:tcW w:type="dxa" w:w="1728"/>
          </w:tcPr>
          <w:p>
            <w:r>
              <w:rPr>
                <w:rFonts w:ascii="Calibri" w:hAnsi="Calibri"/>
                <w:sz w:val="22"/>
              </w:rPr>
              <w:t>Mid-single-digit growth</w:t>
            </w:r>
          </w:p>
        </w:tc>
        <w:tc>
          <w:tcPr>
            <w:tcW w:type="dxa" w:w="1728"/>
          </w:tcPr>
          <w:p>
            <w:r>
              <w:rPr>
                <w:rFonts w:ascii="Calibri" w:hAnsi="Calibri"/>
                <w:b/>
                <w:sz w:val="22"/>
              </w:rPr>
              <w:t>Reduced to flat to low single-digit growth (Middle East conflict)</w:t>
            </w:r>
          </w:p>
        </w:tc>
        <w:tc>
          <w:tcPr>
            <w:tcW w:type="dxa" w:w="1728"/>
          </w:tcPr>
          <w:p>
            <w:r>
              <w:rPr>
                <w:rFonts w:ascii="Calibri" w:hAnsi="Calibri"/>
                <w:sz w:val="22"/>
              </w:rPr>
              <w:t>Parked aircraft declining; no airline behavioral change observed; YTD departures relatively flat</w:t>
            </w:r>
          </w:p>
        </w:tc>
        <w:tc>
          <w:tcPr>
            <w:tcW w:type="dxa" w:w="1728"/>
          </w:tcPr>
          <w:p>
            <w:r>
              <w:rPr>
                <w:rFonts w:ascii="Calibri" w:hAnsi="Calibri"/>
                <w:b/>
                <w:color w:val="E5484D"/>
                <w:sz w:val="22"/>
              </w:rPr>
              <w:t>↓ Reduced, but stabilizing</w:t>
            </w:r>
          </w:p>
        </w:tc>
      </w:tr>
      <w:tr>
        <w:tc>
          <w:tcPr>
            <w:tcW w:type="dxa" w:w="1728"/>
          </w:tcPr>
          <w:p>
            <w:r>
              <w:rPr>
                <w:rFonts w:ascii="Calibri" w:hAnsi="Calibri"/>
                <w:sz w:val="22"/>
              </w:rPr>
              <w:t>LEAP Deliveries (FY 2026)</w:t>
            </w:r>
          </w:p>
        </w:tc>
        <w:tc>
          <w:tcPr>
            <w:tcW w:type="dxa" w:w="1728"/>
          </w:tcPr>
          <w:p>
            <w:r>
              <w:rPr>
                <w:rFonts w:ascii="Calibri" w:hAnsi="Calibri"/>
                <w:sz w:val="22"/>
              </w:rPr>
              <w:t>Up ~15% YoY</w:t>
            </w:r>
          </w:p>
        </w:tc>
        <w:tc>
          <w:tcPr>
            <w:tcW w:type="dxa" w:w="1728"/>
          </w:tcPr>
          <w:p>
            <w:r>
              <w:rPr>
                <w:rFonts w:ascii="Calibri" w:hAnsi="Calibri"/>
                <w:sz w:val="22"/>
              </w:rPr>
              <w:t>Maintained at up ~15%; described as ‘somewhat modest’ given Q1 up 63%</w:t>
            </w:r>
          </w:p>
        </w:tc>
        <w:tc>
          <w:tcPr>
            <w:tcW w:type="dxa" w:w="1728"/>
          </w:tcPr>
          <w:p>
            <w:r>
              <w:rPr>
                <w:rFonts w:ascii="Calibri" w:hAnsi="Calibri"/>
                <w:sz w:val="22"/>
              </w:rPr>
              <w:t>Upside potential flagged; no formal change</w:t>
            </w:r>
          </w:p>
        </w:tc>
        <w:tc>
          <w:tcPr>
            <w:tcW w:type="dxa" w:w="1728"/>
          </w:tcPr>
          <w:p>
            <w:r>
              <w:rPr>
                <w:rFonts w:ascii="Calibri" w:hAnsi="Calibri"/>
                <w:b/>
                <w:color w:val="30A46C"/>
                <w:sz w:val="22"/>
              </w:rPr>
              <w:t>↑ Upside Potential</w:t>
            </w:r>
          </w:p>
        </w:tc>
      </w:tr>
      <w:tr>
        <w:tc>
          <w:tcPr>
            <w:tcW w:type="dxa" w:w="1728"/>
          </w:tcPr>
          <w:p>
            <w:r>
              <w:rPr>
                <w:rFonts w:ascii="Calibri" w:hAnsi="Calibri"/>
                <w:sz w:val="22"/>
              </w:rPr>
              <w:t>2027 Aftermarket Outlook</w:t>
            </w:r>
          </w:p>
        </w:tc>
        <w:tc>
          <w:tcPr>
            <w:tcW w:type="dxa" w:w="1728"/>
          </w:tcPr>
          <w:p>
            <w:r>
              <w:rPr>
                <w:rFonts w:ascii="Calibri" w:hAnsi="Calibri"/>
                <w:sz w:val="22"/>
              </w:rPr>
              <w:t>Not explicitly guided</w:t>
            </w:r>
          </w:p>
        </w:tc>
        <w:tc>
          <w:tcPr>
            <w:tcW w:type="dxa" w:w="1728"/>
          </w:tcPr>
          <w:p>
            <w:r>
              <w:rPr>
                <w:rFonts w:ascii="Calibri" w:hAnsi="Calibri"/>
                <w:sz w:val="22"/>
              </w:rPr>
              <w:t>Not explicitly guided</w:t>
            </w:r>
          </w:p>
        </w:tc>
        <w:tc>
          <w:tcPr>
            <w:tcW w:type="dxa" w:w="1728"/>
          </w:tcPr>
          <w:p>
            <w:r>
              <w:rPr>
                <w:rFonts w:ascii="Calibri" w:hAnsi="Calibri"/>
                <w:b/>
                <w:sz w:val="22"/>
              </w:rPr>
              <w:t>First explicit guidance: double-digit aftermarket growth expected in 2027</w:t>
            </w:r>
          </w:p>
        </w:tc>
        <w:tc>
          <w:tcPr>
            <w:tcW w:type="dxa" w:w="1728"/>
          </w:tcPr>
          <w:p>
            <w:r>
              <w:rPr>
                <w:rFonts w:ascii="Calibri" w:hAnsi="Calibri"/>
                <w:b/>
                <w:color w:val="002FA7"/>
                <w:sz w:val="22"/>
              </w:rPr>
              <w:t>↑ New Positive Signal</w:t>
            </w:r>
          </w:p>
        </w:tc>
      </w:tr>
    </w:tbl>
    <w:p>
      <w:r>
        <w:rPr>
          <w:rFonts w:ascii="Calibri" w:hAnsi="Calibri"/>
          <w:i/>
          <w:color w:val="525866"/>
          <w:sz w:val="22"/>
        </w:rPr>
        <w:t>Source: GE Q4 2025 Earnings Call (January 22, 2026); GE Q1 2026 Earnings Call (April 21, 2026); GE Aerospace Bernstein Strategic Decisions Conference (May 2026).</w:t>
      </w:r>
    </w:p>
    <w:p>
      <w:r>
        <w:rPr>
          <w:rFonts w:ascii="Calibri" w:hAnsi="Calibri"/>
          <w:b/>
          <w:color w:val="525866"/>
          <w:sz w:val="22"/>
        </w:rPr>
        <w:t>Key Commentary Highlights:</w:t>
      </w:r>
    </w:p>
    <w:p>
      <w:pPr>
        <w:pStyle w:val="ListBullet"/>
        <w:ind w:left="360" w:hanging="360"/>
      </w:pPr>
      <w:r>
        <w:rPr>
          <w:rFonts w:ascii="Calibri" w:hAnsi="Calibri"/>
          <w:b/>
          <w:color w:val="525866"/>
          <w:sz w:val="22"/>
        </w:rPr>
        <w:t xml:space="preserve">Q1 2026 Earnings (April 21): </w:t>
      </w:r>
      <w:r>
        <w:rPr>
          <w:rFonts w:ascii="Calibri" w:hAnsi="Calibri"/>
          <w:color w:val="525866"/>
          <w:sz w:val="22"/>
        </w:rPr>
        <w:t>CEO Larry Culp: “If it were not for current events, we’d be talking about an increase in the guide this morning, not color and body language toward the high end of the existing range.” Q1 operating profit was ~$300M above internal expectations. Spare parts delinquency up ~70% since end of 2024, indicating demand continues to outpace supply.</w:t>
      </w:r>
    </w:p>
    <w:p>
      <w:pPr>
        <w:pStyle w:val="ListBullet"/>
        <w:ind w:left="360" w:hanging="360"/>
      </w:pPr>
      <w:r>
        <w:rPr>
          <w:rFonts w:ascii="Calibri" w:hAnsi="Calibri"/>
          <w:b/>
          <w:color w:val="525866"/>
          <w:sz w:val="22"/>
        </w:rPr>
        <w:t xml:space="preserve">Bernstein Conference (Late May 2026): </w:t>
      </w:r>
      <w:r>
        <w:rPr>
          <w:rFonts w:ascii="Calibri" w:hAnsi="Calibri"/>
          <w:color w:val="525866"/>
          <w:sz w:val="22"/>
        </w:rPr>
        <w:t>Parked aircraft declining from both April levels and start-of-year levels (reducing retirement bow-wave risk). Spare parts orders accelerated to ~40% YoY (from ~30% at Q1 earnings). Engine removals continuing to grow. Management explicitly stated they expect double-digit aftermarket growth in 2027 — the first time this directional commentary was provided.</w:t>
      </w:r>
    </w:p>
    <w:p>
      <w:pPr>
        <w:pStyle w:val="ListBullet"/>
        <w:ind w:left="360" w:hanging="360"/>
      </w:pPr>
      <w:r>
        <w:rPr>
          <w:rFonts w:ascii="Calibri" w:hAnsi="Calibri"/>
          <w:b/>
          <w:color w:val="525866"/>
          <w:sz w:val="22"/>
        </w:rPr>
        <w:t xml:space="preserve">LEAP External MRO Network: </w:t>
      </w:r>
      <w:r>
        <w:rPr>
          <w:rFonts w:ascii="Calibri" w:hAnsi="Calibri"/>
          <w:color w:val="525866"/>
          <w:sz w:val="22"/>
        </w:rPr>
        <w:t>External channel now represents ~15% of LEAP shop visits (up from ~10% ~18-20 months ago). Delta TechOps became first North American airline MRO licensed for both LEAP-1A and LEAP-1B. Number of LEAP repairs expected to double in 2026 vs. 2025.</w:t>
      </w:r>
    </w:p>
    <w:p>
      <w:pPr>
        <w:pStyle w:val="ListBullet"/>
        <w:ind w:left="360" w:hanging="360"/>
      </w:pPr>
      <w:r>
        <w:rPr>
          <w:rFonts w:ascii="Calibri" w:hAnsi="Calibri"/>
          <w:b/>
          <w:color w:val="525866"/>
          <w:sz w:val="22"/>
        </w:rPr>
        <w:t xml:space="preserve">GE9X Program: </w:t>
      </w:r>
      <w:r>
        <w:rPr>
          <w:rFonts w:ascii="Calibri" w:hAnsi="Calibri"/>
          <w:color w:val="525866"/>
          <w:sz w:val="22"/>
        </w:rPr>
        <w:t>No change on schedule or losses despite mid-seal durability issue. Root cause identified; modifications being finalized. Deliveries remain second-half weighted.</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Consensus estimates have moved modestly upward since Q1 earnings, tracking management’s services revenue upgrade, but have not fully priced in the high-end of guidance — leaving room for a beat-and-raise scenario if Q2 services momentum holds.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KPI</w:t>
            </w:r>
          </w:p>
        </w:tc>
        <w:tc>
          <w:tcPr>
            <w:tcW w:type="dxa" w:w="1728"/>
            <w:shd w:val="clear" w:color="auto" w:fill="3B4259"/>
          </w:tcPr>
          <w:p>
            <w:r>
              <w:rPr>
                <w:rFonts w:ascii="Calibri" w:hAnsi="Calibri"/>
                <w:b/>
                <w:color w:val="FFFFFF"/>
                <w:sz w:val="22"/>
              </w:rPr>
              <w:t>Consensus as of Apr 28, 2026 (Post-Q1)</w:t>
            </w:r>
          </w:p>
        </w:tc>
        <w:tc>
          <w:tcPr>
            <w:tcW w:type="dxa" w:w="1728"/>
            <w:shd w:val="clear" w:color="auto" w:fill="3B4259"/>
          </w:tcPr>
          <w:p>
            <w:r>
              <w:rPr>
                <w:rFonts w:ascii="Calibri" w:hAnsi="Calibri"/>
                <w:b/>
                <w:color w:val="FFFFFF"/>
                <w:sz w:val="22"/>
              </w:rPr>
              <w:t>Current Consensus (Jul 15, 2026)</w:t>
            </w:r>
          </w:p>
        </w:tc>
        <w:tc>
          <w:tcPr>
            <w:tcW w:type="dxa" w:w="1728"/>
            <w:shd w:val="clear" w:color="auto" w:fill="3B4259"/>
          </w:tcPr>
          <w:p>
            <w:r>
              <w:rPr>
                <w:rFonts w:ascii="Calibri" w:hAnsi="Calibri"/>
                <w:b/>
                <w:color w:val="FFFFFF"/>
                <w:sz w:val="22"/>
              </w:rPr>
              <w:t>FY 2026 Guidance Midpoint</w:t>
            </w:r>
          </w:p>
        </w:tc>
        <w:tc>
          <w:tcPr>
            <w:tcW w:type="dxa" w:w="1728"/>
            <w:shd w:val="clear" w:color="auto" w:fill="3B4259"/>
          </w:tcPr>
          <w:p>
            <w:r>
              <w:rPr>
                <w:rFonts w:ascii="Calibri" w:hAnsi="Calibri"/>
                <w:b/>
                <w:color w:val="FFFFFF"/>
                <w:sz w:val="22"/>
              </w:rPr>
              <w:t>Revision Direction</w:t>
            </w:r>
          </w:p>
        </w:tc>
      </w:tr>
      <w:tr>
        <w:tc>
          <w:tcPr>
            <w:tcW w:type="dxa" w:w="1728"/>
          </w:tcPr>
          <w:p>
            <w:r>
              <w:rPr>
                <w:rFonts w:ascii="Calibri" w:hAnsi="Calibri"/>
                <w:sz w:val="22"/>
              </w:rPr>
              <w:t>Q2 2026 Operating EPS</w:t>
            </w:r>
          </w:p>
        </w:tc>
        <w:tc>
          <w:tcPr>
            <w:tcW w:type="dxa" w:w="1728"/>
          </w:tcPr>
          <w:p>
            <w:r>
              <w:rPr>
                <w:rFonts w:ascii="Calibri" w:hAnsi="Calibri"/>
                <w:sz w:val="22"/>
              </w:rPr>
              <w:t>$1.86</w:t>
            </w:r>
          </w:p>
        </w:tc>
        <w:tc>
          <w:tcPr>
            <w:tcW w:type="dxa" w:w="1728"/>
          </w:tcPr>
          <w:p>
            <w:r>
              <w:rPr>
                <w:rFonts w:ascii="Calibri" w:hAnsi="Calibri"/>
                <w:sz w:val="22"/>
              </w:rPr>
              <w:t>$1.87</w:t>
            </w:r>
          </w:p>
        </w:tc>
        <w:tc>
          <w:tcPr>
            <w:tcW w:type="dxa" w:w="1728"/>
          </w:tcPr>
          <w:p>
            <w:r>
              <w:rPr>
                <w:rFonts w:ascii="Calibri" w:hAnsi="Calibri"/>
                <w:sz w:val="22"/>
              </w:rPr>
              <w:t>$7.25 midpoint (FY)</w:t>
            </w:r>
          </w:p>
        </w:tc>
        <w:tc>
          <w:tcPr>
            <w:tcW w:type="dxa" w:w="1728"/>
          </w:tcPr>
          <w:p>
            <w:r>
              <w:rPr>
                <w:rFonts w:ascii="Calibri" w:hAnsi="Calibri"/>
                <w:b/>
                <w:color w:val="30A46C"/>
                <w:sz w:val="22"/>
              </w:rPr>
              <w:t>↑ Slight Upward</w:t>
            </w:r>
          </w:p>
        </w:tc>
      </w:tr>
      <w:tr>
        <w:tc>
          <w:tcPr>
            <w:tcW w:type="dxa" w:w="1728"/>
          </w:tcPr>
          <w:p>
            <w:r>
              <w:rPr>
                <w:rFonts w:ascii="Calibri" w:hAnsi="Calibri"/>
                <w:sz w:val="22"/>
              </w:rPr>
              <w:t>Q2 2026 Revenue</w:t>
            </w:r>
          </w:p>
        </w:tc>
        <w:tc>
          <w:tcPr>
            <w:tcW w:type="dxa" w:w="1728"/>
          </w:tcPr>
          <w:p>
            <w:r>
              <w:rPr>
                <w:rFonts w:ascii="Calibri" w:hAnsi="Calibri"/>
                <w:sz w:val="22"/>
              </w:rPr>
              <w:t>$12.41B</w:t>
            </w:r>
          </w:p>
        </w:tc>
        <w:tc>
          <w:tcPr>
            <w:tcW w:type="dxa" w:w="1728"/>
          </w:tcPr>
          <w:p>
            <w:r>
              <w:rPr>
                <w:rFonts w:ascii="Calibri" w:hAnsi="Calibri"/>
                <w:sz w:val="22"/>
              </w:rPr>
              <w:t>$12.57B</w:t>
            </w:r>
          </w:p>
        </w:tc>
        <w:tc>
          <w:tcPr>
            <w:tcW w:type="dxa" w:w="1728"/>
          </w:tcPr>
          <w:p>
            <w:r>
              <w:rPr>
                <w:rFonts w:ascii="Calibri" w:hAnsi="Calibri"/>
                <w:sz w:val="22"/>
              </w:rPr>
              <w:t>Low double-digit growth (FY)</w:t>
            </w:r>
          </w:p>
        </w:tc>
        <w:tc>
          <w:tcPr>
            <w:tcW w:type="dxa" w:w="1728"/>
          </w:tcPr>
          <w:p>
            <w:r>
              <w:rPr>
                <w:rFonts w:ascii="Calibri" w:hAnsi="Calibri"/>
                <w:b/>
                <w:color w:val="30A46C"/>
                <w:sz w:val="22"/>
              </w:rPr>
              <w:t>↑ Slight Upward</w:t>
            </w:r>
          </w:p>
        </w:tc>
      </w:tr>
      <w:tr>
        <w:tc>
          <w:tcPr>
            <w:tcW w:type="dxa" w:w="1728"/>
          </w:tcPr>
          <w:p>
            <w:r>
              <w:rPr>
                <w:rFonts w:ascii="Calibri" w:hAnsi="Calibri"/>
                <w:sz w:val="22"/>
              </w:rPr>
              <w:t>Q2 2026 Comm. Services Revenue</w:t>
            </w:r>
          </w:p>
        </w:tc>
        <w:tc>
          <w:tcPr>
            <w:tcW w:type="dxa" w:w="1728"/>
          </w:tcPr>
          <w:p>
            <w:r>
              <w:rPr>
                <w:rFonts w:ascii="Calibri" w:hAnsi="Calibri"/>
                <w:sz w:val="22"/>
              </w:rPr>
              <w:t>$7.05B</w:t>
            </w:r>
          </w:p>
        </w:tc>
        <w:tc>
          <w:tcPr>
            <w:tcW w:type="dxa" w:w="1728"/>
          </w:tcPr>
          <w:p>
            <w:r>
              <w:rPr>
                <w:rFonts w:ascii="Calibri" w:hAnsi="Calibri"/>
                <w:sz w:val="22"/>
              </w:rPr>
              <w:t>$7.04B</w:t>
            </w:r>
          </w:p>
        </w:tc>
        <w:tc>
          <w:tcPr>
            <w:tcW w:type="dxa" w:w="1728"/>
          </w:tcPr>
          <w:p>
            <w:r>
              <w:rPr>
                <w:rFonts w:ascii="Calibri" w:hAnsi="Calibri"/>
                <w:sz w:val="22"/>
              </w:rPr>
              <w:t>~$4B YoY growth (FY)</w:t>
            </w:r>
          </w:p>
        </w:tc>
        <w:tc>
          <w:tcPr>
            <w:tcW w:type="dxa" w:w="1728"/>
          </w:tcPr>
          <w:p>
            <w:r>
              <w:rPr>
                <w:rFonts w:ascii="Calibri" w:hAnsi="Calibri"/>
                <w:b/>
                <w:color w:val="30A46C"/>
                <w:sz w:val="22"/>
              </w:rPr>
              <w:t>→ Stable</w:t>
            </w:r>
          </w:p>
        </w:tc>
      </w:tr>
      <w:tr>
        <w:tc>
          <w:tcPr>
            <w:tcW w:type="dxa" w:w="1728"/>
          </w:tcPr>
          <w:p>
            <w:r>
              <w:rPr>
                <w:rFonts w:ascii="Calibri" w:hAnsi="Calibri"/>
                <w:sz w:val="22"/>
              </w:rPr>
              <w:t>Q2 2026 Operating EBIT</w:t>
            </w:r>
          </w:p>
        </w:tc>
        <w:tc>
          <w:tcPr>
            <w:tcW w:type="dxa" w:w="1728"/>
          </w:tcPr>
          <w:p>
            <w:r>
              <w:rPr>
                <w:rFonts w:ascii="Calibri" w:hAnsi="Calibri"/>
                <w:sz w:val="22"/>
              </w:rPr>
              <w:t>$2.59B</w:t>
            </w:r>
          </w:p>
        </w:tc>
        <w:tc>
          <w:tcPr>
            <w:tcW w:type="dxa" w:w="1728"/>
          </w:tcPr>
          <w:p>
            <w:r>
              <w:rPr>
                <w:rFonts w:ascii="Calibri" w:hAnsi="Calibri"/>
                <w:sz w:val="22"/>
              </w:rPr>
              <w:t>$2.58B</w:t>
            </w:r>
          </w:p>
        </w:tc>
        <w:tc>
          <w:tcPr>
            <w:tcW w:type="dxa" w:w="1728"/>
          </w:tcPr>
          <w:p>
            <w:r>
              <w:rPr>
                <w:rFonts w:ascii="Calibri" w:hAnsi="Calibri"/>
                <w:sz w:val="22"/>
              </w:rPr>
              <w:t>$10.05B midpoint (FY)</w:t>
            </w:r>
          </w:p>
        </w:tc>
        <w:tc>
          <w:tcPr>
            <w:tcW w:type="dxa" w:w="1728"/>
          </w:tcPr>
          <w:p>
            <w:r>
              <w:rPr>
                <w:rFonts w:ascii="Calibri" w:hAnsi="Calibri"/>
                <w:sz w:val="22"/>
              </w:rPr>
              <w:t>→ Stable</w:t>
            </w:r>
          </w:p>
        </w:tc>
      </w:tr>
      <w:tr>
        <w:tc>
          <w:tcPr>
            <w:tcW w:type="dxa" w:w="1728"/>
          </w:tcPr>
          <w:p>
            <w:r>
              <w:rPr>
                <w:rFonts w:ascii="Calibri" w:hAnsi="Calibri"/>
                <w:sz w:val="22"/>
              </w:rPr>
              <w:t>FY 2026 Operating EPS</w:t>
            </w:r>
          </w:p>
        </w:tc>
        <w:tc>
          <w:tcPr>
            <w:tcW w:type="dxa" w:w="1728"/>
          </w:tcPr>
          <w:p>
            <w:r>
              <w:rPr>
                <w:rFonts w:ascii="Calibri" w:hAnsi="Calibri"/>
                <w:sz w:val="22"/>
              </w:rPr>
              <w:t>$7.58</w:t>
            </w:r>
          </w:p>
        </w:tc>
        <w:tc>
          <w:tcPr>
            <w:tcW w:type="dxa" w:w="1728"/>
          </w:tcPr>
          <w:p>
            <w:r>
              <w:rPr>
                <w:rFonts w:ascii="Calibri" w:hAnsi="Calibri"/>
                <w:sz w:val="22"/>
              </w:rPr>
              <w:t>$7.58</w:t>
            </w:r>
          </w:p>
        </w:tc>
        <w:tc>
          <w:tcPr>
            <w:tcW w:type="dxa" w:w="1728"/>
          </w:tcPr>
          <w:p>
            <w:r>
              <w:rPr>
                <w:rFonts w:ascii="Calibri" w:hAnsi="Calibri"/>
                <w:sz w:val="22"/>
              </w:rPr>
              <w:t>$7.25 midpoint</w:t>
            </w:r>
          </w:p>
        </w:tc>
        <w:tc>
          <w:tcPr>
            <w:tcW w:type="dxa" w:w="1728"/>
          </w:tcPr>
          <w:p>
            <w:r>
              <w:rPr>
                <w:rFonts w:ascii="Calibri" w:hAnsi="Calibri"/>
                <w:sz w:val="22"/>
              </w:rPr>
              <w:t>→ Stable (above guidance midpoint)</w:t>
            </w:r>
          </w:p>
        </w:tc>
      </w:tr>
      <w:tr>
        <w:tc>
          <w:tcPr>
            <w:tcW w:type="dxa" w:w="1728"/>
          </w:tcPr>
          <w:p>
            <w:r>
              <w:rPr>
                <w:rFonts w:ascii="Calibri" w:hAnsi="Calibri"/>
                <w:sz w:val="22"/>
              </w:rPr>
              <w:t>FY 2026 Free Cash Flow</w:t>
            </w:r>
          </w:p>
        </w:tc>
        <w:tc>
          <w:tcPr>
            <w:tcW w:type="dxa" w:w="1728"/>
          </w:tcPr>
          <w:p>
            <w:r>
              <w:rPr>
                <w:rFonts w:ascii="Calibri" w:hAnsi="Calibri"/>
                <w:sz w:val="22"/>
              </w:rPr>
              <w:t>$8.41B</w:t>
            </w:r>
          </w:p>
        </w:tc>
        <w:tc>
          <w:tcPr>
            <w:tcW w:type="dxa" w:w="1728"/>
          </w:tcPr>
          <w:p>
            <w:r>
              <w:rPr>
                <w:rFonts w:ascii="Calibri" w:hAnsi="Calibri"/>
                <w:sz w:val="22"/>
              </w:rPr>
              <w:t>$8.41B</w:t>
            </w:r>
          </w:p>
        </w:tc>
        <w:tc>
          <w:tcPr>
            <w:tcW w:type="dxa" w:w="1728"/>
          </w:tcPr>
          <w:p>
            <w:r>
              <w:rPr>
                <w:rFonts w:ascii="Calibri" w:hAnsi="Calibri"/>
                <w:sz w:val="22"/>
              </w:rPr>
              <w:t>$8.2B midpoint</w:t>
            </w:r>
          </w:p>
        </w:tc>
        <w:tc>
          <w:tcPr>
            <w:tcW w:type="dxa" w:w="1728"/>
          </w:tcPr>
          <w:p>
            <w:r>
              <w:rPr>
                <w:rFonts w:ascii="Calibri" w:hAnsi="Calibri"/>
                <w:sz w:val="22"/>
              </w:rPr>
              <w:t>→ Stable (above guidance midpoint)</w:t>
            </w:r>
          </w:p>
        </w:tc>
      </w:tr>
    </w:tbl>
    <w:p>
      <w:r>
        <w:rPr>
          <w:rFonts w:ascii="Calibri" w:hAnsi="Calibri"/>
          <w:i/>
          <w:color w:val="525866"/>
          <w:sz w:val="22"/>
        </w:rPr>
        <w:t>Source: Visible Alpha Consensus and Actuals Data (as-of April 28, 2026 and current). Note: FY 2026 consensus EPS of $7.58 sits above the guidance midpoint of $7.25, reflecting the street’s expectation that GE will deliver toward the high end of its range — consistent with management’s own commentary.</w:t>
      </w:r>
    </w:p>
    <w:p>
      <w:r>
        <w:rPr>
          <w:rFonts w:ascii="Calibri" w:hAnsi="Calibri"/>
          <w:b/>
          <w:color w:val="525866"/>
          <w:sz w:val="22"/>
        </w:rPr>
        <w:t xml:space="preserve">Revision Narrative: </w:t>
      </w:r>
      <w:r>
        <w:rPr>
          <w:rFonts w:ascii="Calibri" w:hAnsi="Calibri"/>
          <w:color w:val="525866"/>
          <w:sz w:val="22"/>
        </w:rPr>
        <w:t>Estimate revisions since Q1 earnings have been modest and directionally positive, with Q2 revenue estimates moving up ~$160M and EPS up ~$0.01. The more meaningful revision was to the full-year services revenue outlook (from ~$3.5B to ~$4B YoY growth), which management drove directly. The street’s FY EPS consensus of $7.58 already sits above the guidance midpoint of $7.25, implying the market expects a guidance raise at some point in 2026. The key question for Q2 is whether management finally pulls the trigger on a formal raise, or continues to guide conservatively given residual Middle East uncertainty.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GE has dramatically outperformed since Q1 earnings (+25.7% vs. XAR -0.4% and SPY +7.2%), recovering all of the Q1 earnings-day decline (-5.6%) and then some — the stock has re-rated to reflect improving fundamentals and the Bernstein conference’s more constructive tone, raising the bar for Q2.</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GE Aerospace (GE) vs. XAR (Aerospace &amp; Defense ETF) vs. SPY — Indexed to 100 at Q1 2026 Earnings (April 21, 2026). Source: Stock Price Data.</w:t>
      </w:r>
    </w:p>
    <w:tbl>
      <w:tblPr>
        <w:tblStyle w:val="TableGrid"/>
        <w:tblW w:type="auto" w:w="0"/>
        <w:tblLook w:firstColumn="1" w:firstRow="1" w:lastColumn="0" w:lastRow="0" w:noHBand="0" w:noVBand="1" w:val="04A0"/>
      </w:tblPr>
      <w:tblGrid>
        <w:gridCol w:w="4320"/>
        <w:gridCol w:w="4320"/>
      </w:tblGrid>
      <w:tr>
        <w:tc>
          <w:tcPr>
            <w:tcW w:type="dxa" w:w="4320"/>
            <w:shd w:val="clear" w:color="auto" w:fill="3B4259"/>
          </w:tcPr>
          <w:p>
            <w:r>
              <w:rPr>
                <w:rFonts w:ascii="Calibri" w:hAnsi="Calibri"/>
                <w:b/>
                <w:color w:val="FFFFFF"/>
                <w:sz w:val="22"/>
              </w:rPr>
              <w:t>Metric</w:t>
            </w:r>
          </w:p>
        </w:tc>
        <w:tc>
          <w:tcPr>
            <w:tcW w:type="dxa" w:w="4320"/>
            <w:shd w:val="clear" w:color="auto" w:fill="3B4259"/>
          </w:tcPr>
          <w:p>
            <w:r>
              <w:rPr>
                <w:rFonts w:ascii="Calibri" w:hAnsi="Calibri"/>
                <w:b/>
                <w:color w:val="FFFFFF"/>
                <w:sz w:val="22"/>
              </w:rPr>
              <w:t>Value</w:t>
            </w:r>
          </w:p>
        </w:tc>
      </w:tr>
      <w:tr>
        <w:tc>
          <w:tcPr>
            <w:tcW w:type="dxa" w:w="4320"/>
          </w:tcPr>
          <w:p>
            <w:r>
              <w:rPr>
                <w:rFonts w:ascii="Calibri" w:hAnsi="Calibri"/>
                <w:sz w:val="22"/>
              </w:rPr>
              <w:t>GE Price at Q1 Earnings (Apr 21, 2026 Close)</w:t>
            </w:r>
          </w:p>
        </w:tc>
        <w:tc>
          <w:tcPr>
            <w:tcW w:type="dxa" w:w="4320"/>
          </w:tcPr>
          <w:p>
            <w:r>
              <w:rPr>
                <w:rFonts w:ascii="Calibri" w:hAnsi="Calibri"/>
                <w:sz w:val="22"/>
              </w:rPr>
              <w:t>$286.73</w:t>
            </w:r>
          </w:p>
        </w:tc>
      </w:tr>
      <w:tr>
        <w:tc>
          <w:tcPr>
            <w:tcW w:type="dxa" w:w="4320"/>
          </w:tcPr>
          <w:p>
            <w:r>
              <w:rPr>
                <w:rFonts w:ascii="Calibri" w:hAnsi="Calibri"/>
                <w:sz w:val="22"/>
              </w:rPr>
              <w:t>GE Price Today (Jul 15, 2026)</w:t>
            </w:r>
          </w:p>
        </w:tc>
        <w:tc>
          <w:tcPr>
            <w:tcW w:type="dxa" w:w="4320"/>
          </w:tcPr>
          <w:p>
            <w:r>
              <w:rPr>
                <w:rFonts w:ascii="Calibri" w:hAnsi="Calibri"/>
                <w:sz w:val="22"/>
              </w:rPr>
              <w:t>$360.35</w:t>
            </w:r>
          </w:p>
        </w:tc>
      </w:tr>
      <w:tr>
        <w:tc>
          <w:tcPr>
            <w:tcW w:type="dxa" w:w="4320"/>
          </w:tcPr>
          <w:p>
            <w:r>
              <w:rPr>
                <w:rFonts w:ascii="Calibri" w:hAnsi="Calibri"/>
                <w:sz w:val="22"/>
              </w:rPr>
              <w:t>GE Return Since Q1 Earnings</w:t>
            </w:r>
          </w:p>
        </w:tc>
        <w:tc>
          <w:tcPr>
            <w:tcW w:type="dxa" w:w="4320"/>
          </w:tcPr>
          <w:p>
            <w:r>
              <w:rPr>
                <w:rFonts w:ascii="Calibri" w:hAnsi="Calibri"/>
                <w:b/>
                <w:color w:val="30A46C"/>
                <w:sz w:val="22"/>
              </w:rPr>
              <w:t>+25.7%</w:t>
            </w:r>
          </w:p>
        </w:tc>
      </w:tr>
      <w:tr>
        <w:tc>
          <w:tcPr>
            <w:tcW w:type="dxa" w:w="4320"/>
          </w:tcPr>
          <w:p>
            <w:r>
              <w:rPr>
                <w:rFonts w:ascii="Calibri" w:hAnsi="Calibri"/>
                <w:sz w:val="22"/>
              </w:rPr>
              <w:t>XAR Return Since Q1 Earnings</w:t>
            </w:r>
          </w:p>
        </w:tc>
        <w:tc>
          <w:tcPr>
            <w:tcW w:type="dxa" w:w="4320"/>
          </w:tcPr>
          <w:p>
            <w:r>
              <w:rPr>
                <w:rFonts w:ascii="Calibri" w:hAnsi="Calibri"/>
                <w:b/>
                <w:color w:val="E5484D"/>
                <w:sz w:val="22"/>
              </w:rPr>
              <w:t>-0.4%</w:t>
            </w:r>
          </w:p>
        </w:tc>
      </w:tr>
      <w:tr>
        <w:tc>
          <w:tcPr>
            <w:tcW w:type="dxa" w:w="4320"/>
          </w:tcPr>
          <w:p>
            <w:r>
              <w:rPr>
                <w:rFonts w:ascii="Calibri" w:hAnsi="Calibri"/>
                <w:sz w:val="22"/>
              </w:rPr>
              <w:t>SPY Return Since Q1 Earnings</w:t>
            </w:r>
          </w:p>
        </w:tc>
        <w:tc>
          <w:tcPr>
            <w:tcW w:type="dxa" w:w="4320"/>
          </w:tcPr>
          <w:p>
            <w:r>
              <w:rPr>
                <w:rFonts w:ascii="Calibri" w:hAnsi="Calibri"/>
                <w:sz w:val="22"/>
              </w:rPr>
              <w:t>+7.2%</w:t>
            </w:r>
          </w:p>
        </w:tc>
      </w:tr>
      <w:tr>
        <w:tc>
          <w:tcPr>
            <w:tcW w:type="dxa" w:w="4320"/>
          </w:tcPr>
          <w:p>
            <w:r>
              <w:rPr>
                <w:rFonts w:ascii="Calibri" w:hAnsi="Calibri"/>
                <w:sz w:val="22"/>
              </w:rPr>
              <w:t>GE Earnings Day Move (Apr 21, 2026)</w:t>
            </w:r>
          </w:p>
        </w:tc>
        <w:tc>
          <w:tcPr>
            <w:tcW w:type="dxa" w:w="4320"/>
          </w:tcPr>
          <w:p>
            <w:r>
              <w:rPr>
                <w:rFonts w:ascii="Calibri" w:hAnsi="Calibri"/>
                <w:sz w:val="22"/>
              </w:rPr>
              <w:t>-5.6% (stock sold off despite strong beat; guidance held, not raised)</w:t>
            </w:r>
          </w:p>
        </w:tc>
      </w:tr>
      <w:tr>
        <w:tc>
          <w:tcPr>
            <w:tcW w:type="dxa" w:w="4320"/>
          </w:tcPr>
          <w:p>
            <w:r>
              <w:rPr>
                <w:rFonts w:ascii="Calibri" w:hAnsi="Calibri"/>
                <w:sz w:val="22"/>
              </w:rPr>
              <w:t>GE 52-Week High (approx.)</w:t>
            </w:r>
          </w:p>
        </w:tc>
        <w:tc>
          <w:tcPr>
            <w:tcW w:type="dxa" w:w="4320"/>
          </w:tcPr>
          <w:p>
            <w:r>
              <w:rPr>
                <w:rFonts w:ascii="Calibri" w:hAnsi="Calibri"/>
                <w:sz w:val="22"/>
              </w:rPr>
              <w:t>~$378.68 (Jul 6, 2026)</w:t>
            </w:r>
          </w:p>
        </w:tc>
      </w:tr>
      <w:tr>
        <w:tc>
          <w:tcPr>
            <w:tcW w:type="dxa" w:w="4320"/>
          </w:tcPr>
          <w:p>
            <w:r>
              <w:rPr>
                <w:rFonts w:ascii="Calibri" w:hAnsi="Calibri"/>
                <w:sz w:val="22"/>
              </w:rPr>
              <w:t>GE 52-Week Low (approx.)</w:t>
            </w:r>
          </w:p>
        </w:tc>
        <w:tc>
          <w:tcPr>
            <w:tcW w:type="dxa" w:w="4320"/>
          </w:tcPr>
          <w:p>
            <w:r>
              <w:rPr>
                <w:rFonts w:ascii="Calibri" w:hAnsi="Calibri"/>
                <w:sz w:val="22"/>
              </w:rPr>
              <w:t>~$276.29 (Apr 22, 2026, post-earnings trough)</w:t>
            </w:r>
          </w:p>
        </w:tc>
      </w:tr>
    </w:tbl>
    <w:p>
      <w:r>
        <w:rPr>
          <w:rFonts w:ascii="Calibri" w:hAnsi="Calibri"/>
          <w:i/>
          <w:color w:val="525866"/>
          <w:sz w:val="22"/>
        </w:rPr>
        <w:t>Source: Stock Price Data.</w:t>
      </w:r>
    </w:p>
    <w:p>
      <w:r>
        <w:rPr>
          <w:rFonts w:ascii="Calibri" w:hAnsi="Calibri"/>
          <w:b/>
          <w:color w:val="525866"/>
          <w:sz w:val="22"/>
        </w:rPr>
        <w:t xml:space="preserve">Performance Commentary: </w:t>
      </w:r>
      <w:r>
        <w:rPr>
          <w:rFonts w:ascii="Calibri" w:hAnsi="Calibri"/>
          <w:color w:val="525866"/>
          <w:sz w:val="22"/>
        </w:rPr>
        <w:t>The stock’s sharp recovery from the post-Q1 earnings trough ($276.29 on April 22) to current levels ($360.35) reflects the market’s re-rating of GE’s earnings power as the Bernstein conference data points (accelerating spare parts, declining parked aircraft) removed some of the Middle East uncertainty discount. The stock briefly touched a high of $378.68 on July 6 before pulling back modestly. Heading into Q2 earnings, GE trades at a meaningful premium to the aerospace &amp; defense sector (XAR flat since Q1 earnings), implying the market is pricing in continued execution. A beat-and-raise scenario would likely be well-received; a beat-but-hold (similar to Q1) could see a repeat of the post-Q1 sell-off dynamic.</w:t>
      </w:r>
    </w:p>
    <w:p>
      <w:r>
        <w:br w:type="page"/>
      </w:r>
    </w:p>
    <w:p>
      <w:pPr>
        <w:pStyle w:val="Heading2"/>
      </w:pPr>
      <w:r>
        <w:rPr>
          <w:rFonts w:ascii="Calibri" w:hAnsi="Calibri"/>
          <w:b/>
          <w:color w:val="3B4259"/>
          <w:sz w:val="28"/>
        </w:rPr>
        <w:t>6. Peer Commentaries — Read-Through (Last 60 Days)</w:t>
      </w:r>
    </w:p>
    <w:p>
      <w:r>
        <w:rPr>
          <w:rFonts w:ascii="Calibri" w:hAnsi="Calibri"/>
          <w:b/>
          <w:color w:val="525866"/>
          <w:sz w:val="22"/>
        </w:rPr>
        <w:t xml:space="preserve">Key Takeaway: </w:t>
      </w:r>
      <w:r>
        <w:rPr>
          <w:rFonts w:ascii="Calibri" w:hAnsi="Calibri"/>
          <w:color w:val="525866"/>
          <w:sz w:val="22"/>
        </w:rPr>
        <w:t>Peer commentary from the last 60 days is broadly constructive for GE’s Q2 setup — Howmet Aerospace’s Q1 2026 results (reported May 7) showed commercial aerospace engine spares up 48% YoY and MRO slots backlogged, directly validating GE’s aftermarket demand thesis; RTX’s preliminary Q2 2026 results (July 9) confirmed continued aerospace strength heading into the reporting season.</w:t>
      </w:r>
    </w:p>
    <w:p>
      <w:r>
        <w:rPr>
          <w:rFonts w:ascii="Calibri" w:hAnsi="Calibri"/>
          <w:i/>
          <w:color w:val="525866"/>
          <w:sz w:val="22"/>
        </w:rPr>
        <w:t xml:space="preserve">Note on peer selection: </w:t>
      </w:r>
      <w:r>
        <w:rPr>
          <w:rFonts w:ascii="Calibri" w:hAnsi="Calibri"/>
          <w:i/>
          <w:color w:val="525866"/>
          <w:sz w:val="22"/>
        </w:rPr>
        <w:t>Only commentary from the current reporting quarter (Q2 2026) or post-Q1 2026 earnings period is included below. Q1 2025 earnings calls (reporting on Q1 results) are excluded as they reflect the prior quarter’s performance, not the current quarter’s setup.</w:t>
      </w:r>
    </w:p>
    <w:p>
      <w:pPr>
        <w:pStyle w:val="Heading3"/>
      </w:pPr>
      <w:r>
        <w:rPr>
          <w:rFonts w:ascii="Calibri" w:hAnsi="Calibri"/>
          <w:b/>
          <w:color w:val="3B4259"/>
          <w:sz w:val="24"/>
        </w:rPr>
        <w:t>Howmet Aerospace (HWM) — Q1 2026 Earnings Call (May 7, 2026)</w:t>
      </w:r>
    </w:p>
    <w:p>
      <w:r>
        <w:rPr>
          <w:rFonts w:ascii="Calibri" w:hAnsi="Calibri"/>
          <w:b/>
          <w:color w:val="525866"/>
          <w:sz w:val="22"/>
        </w:rPr>
        <w:t xml:space="preserve">Relevance to GE: </w:t>
      </w:r>
      <w:r>
        <w:rPr>
          <w:rFonts w:ascii="Calibri" w:hAnsi="Calibri"/>
          <w:color w:val="525866"/>
          <w:sz w:val="22"/>
        </w:rPr>
        <w:t>Howmet is a key supplier of engine components (turbine blades, airfoils) to GE’s LEAP, CFM56, GE9X, and GEnx programs. Its demand signals are a direct leading indicator for GE’s engine production and aftermarket volumes.</w:t>
      </w:r>
    </w:p>
    <w:p>
      <w:pPr>
        <w:pStyle w:val="ListBullet"/>
        <w:ind w:left="360" w:hanging="360"/>
      </w:pPr>
      <w:r>
        <w:rPr>
          <w:rFonts w:ascii="Calibri" w:hAnsi="Calibri"/>
          <w:b/>
          <w:color w:val="525866"/>
          <w:sz w:val="22"/>
        </w:rPr>
        <w:t>Commercial Aerospace engine spares up 48% YoY in Q1 2026</w:t>
      </w:r>
      <w:r>
        <w:rPr>
          <w:rFonts w:ascii="Calibri" w:hAnsi="Calibri"/>
          <w:color w:val="525866"/>
          <w:sz w:val="22"/>
        </w:rPr>
        <w:t>, with both legacy (CFM56, GE90) and next-generation (LEAP, GEnx) engine spares contributing. This directly validates GE’s spare parts demand narrative and supports the ~40% YoY spare parts growth GE flagged at the Bernstein conference.</w:t>
      </w:r>
    </w:p>
    <w:p>
      <w:pPr>
        <w:pStyle w:val="ListBullet"/>
        <w:ind w:left="360" w:hanging="360"/>
      </w:pPr>
      <w:r>
        <w:rPr>
          <w:rFonts w:ascii="Calibri" w:hAnsi="Calibri"/>
          <w:b/>
          <w:color w:val="525866"/>
          <w:sz w:val="22"/>
        </w:rPr>
        <w:t>Spares revenue reached 23% of total revenue in Q1 2026</w:t>
      </w:r>
      <w:r>
        <w:rPr>
          <w:rFonts w:ascii="Calibri" w:hAnsi="Calibri"/>
          <w:color w:val="525866"/>
          <w:sz w:val="22"/>
        </w:rPr>
        <w:t xml:space="preserve"> (vs. 21% in FY 2025 and 11% in FY 2019), confirming the structural shift toward higher-margin aftermarket services that underpins GE’s commercial services revenue growth thesis.</w:t>
      </w:r>
    </w:p>
    <w:p>
      <w:pPr>
        <w:pStyle w:val="ListBullet"/>
        <w:ind w:left="360" w:hanging="360"/>
      </w:pPr>
      <w:r>
        <w:rPr>
          <w:rFonts w:ascii="Calibri" w:hAnsi="Calibri"/>
          <w:b/>
          <w:color w:val="525866"/>
          <w:sz w:val="22"/>
        </w:rPr>
        <w:t>MRO slots are backlogged</w:t>
      </w:r>
      <w:r>
        <w:rPr>
          <w:rFonts w:ascii="Calibri" w:hAnsi="Calibri"/>
          <w:color w:val="525866"/>
          <w:sz w:val="22"/>
        </w:rPr>
        <w:t>, and the outlook for spares “continues to be strong.” Airline traffic held up well through April, though some airlines have drawn up lower-volume contingency plans. The large aircraft backlog is expected to underpin current build rates.</w:t>
      </w:r>
    </w:p>
    <w:p>
      <w:pPr>
        <w:pStyle w:val="ListBullet"/>
        <w:ind w:left="360" w:hanging="360"/>
      </w:pPr>
      <w:r>
        <w:rPr>
          <w:rFonts w:ascii="Calibri" w:hAnsi="Calibri"/>
          <w:b/>
          <w:color w:val="525866"/>
          <w:sz w:val="22"/>
        </w:rPr>
        <w:t>LEAP-1B Maverick production just starting</w:t>
      </w:r>
      <w:r>
        <w:rPr>
          <w:rFonts w:ascii="Calibri" w:hAnsi="Calibri"/>
          <w:color w:val="525866"/>
          <w:sz w:val="22"/>
        </w:rPr>
        <w:t xml:space="preserve"> in Q1, with volumes increasing in Q2 and more significantly in Q3/Q4. Full changeover expected before year-end 2026. This is consistent with GE’s LEAP delivery guide of up ~15% for FY 2026 and supports the durability improvement narrative.</w:t>
      </w:r>
    </w:p>
    <w:p>
      <w:pPr>
        <w:pStyle w:val="ListBullet"/>
        <w:ind w:left="360" w:hanging="360"/>
      </w:pPr>
      <w:r>
        <w:rPr>
          <w:rFonts w:ascii="Calibri" w:hAnsi="Calibri"/>
          <w:b/>
          <w:color w:val="525866"/>
          <w:sz w:val="22"/>
        </w:rPr>
        <w:t>CFM56 production expected to increase in 2026 and 2027</w:t>
      </w:r>
      <w:r>
        <w:rPr>
          <w:rFonts w:ascii="Calibri" w:hAnsi="Calibri"/>
          <w:color w:val="525866"/>
          <w:sz w:val="22"/>
        </w:rPr>
        <w:t xml:space="preserve"> with “very modest” decay — directly supporting GE’s CFM56 longevity thesis and the 2,300–2,400 annual shop visit range through 2028.</w:t>
      </w:r>
    </w:p>
    <w:p>
      <w:pPr>
        <w:pStyle w:val="ListBullet"/>
        <w:ind w:left="360" w:hanging="360"/>
      </w:pPr>
      <w:r>
        <w:rPr>
          <w:rFonts w:ascii="Calibri" w:hAnsi="Calibri"/>
          <w:b/>
          <w:color w:val="525866"/>
          <w:sz w:val="22"/>
        </w:rPr>
        <w:t>LEAP spares business expected to grow continuously for the next 8–10 years</w:t>
      </w:r>
      <w:r>
        <w:rPr>
          <w:rFonts w:ascii="Calibri" w:hAnsi="Calibri"/>
          <w:color w:val="525866"/>
          <w:sz w:val="22"/>
        </w:rPr>
        <w:t>, initially at a higher level due to durability issues — a strong multi-year read-through for GE’s LEAP aftermarket profit pool expansion toward the 2030 target of matching the CFM56 profit pool.</w:t>
      </w:r>
    </w:p>
    <w:p>
      <w:pPr>
        <w:pStyle w:val="ListBullet"/>
        <w:ind w:left="360" w:hanging="360"/>
      </w:pPr>
      <w:r>
        <w:rPr>
          <w:rFonts w:ascii="Calibri" w:hAnsi="Calibri"/>
          <w:b/>
          <w:color w:val="525866"/>
          <w:sz w:val="22"/>
        </w:rPr>
        <w:t>Defense Aerospace grew 10% in Q1 2026</w:t>
      </w:r>
      <w:r>
        <w:rPr>
          <w:rFonts w:ascii="Calibri" w:hAnsi="Calibri"/>
          <w:color w:val="525866"/>
          <w:sz w:val="22"/>
        </w:rPr>
        <w:t>, including healthy spares activity, with defense sales remaining strong for both new aircraft and spares given Middle East escalation. Positive read-through for GE’s DPT segment.</w:t>
      </w:r>
    </w:p>
    <w:p>
      <w:pPr>
        <w:pStyle w:val="ListBullet"/>
        <w:ind w:left="360" w:hanging="360"/>
      </w:pPr>
      <w:r>
        <w:rPr>
          <w:rFonts w:ascii="Calibri" w:hAnsi="Calibri"/>
          <w:b/>
          <w:color w:val="525866"/>
          <w:sz w:val="22"/>
        </w:rPr>
        <w:t>Engine revenue increase above aircraft build rates in Q1</w:t>
      </w:r>
      <w:r>
        <w:rPr>
          <w:rFonts w:ascii="Calibri" w:hAnsi="Calibri"/>
          <w:color w:val="525866"/>
          <w:sz w:val="22"/>
        </w:rPr>
        <w:t>, partly reflecting the need to be ahead of future volume increases as airframers aim to raise rates — consistent with GE’s engine delivery growth of 50% in Q1 2026.</w:t>
      </w:r>
    </w:p>
    <w:p>
      <w:pPr>
        <w:pStyle w:val="Heading3"/>
      </w:pPr>
      <w:r>
        <w:rPr>
          <w:rFonts w:ascii="Calibri" w:hAnsi="Calibri"/>
          <w:b/>
          <w:color w:val="3B4259"/>
          <w:sz w:val="24"/>
        </w:rPr>
        <w:t>RTX (Raytheon Technologies) — Bernstein Strategic Decisions Conference (May 29, 2026)</w:t>
      </w:r>
    </w:p>
    <w:p>
      <w:r>
        <w:rPr>
          <w:rFonts w:ascii="Calibri" w:hAnsi="Calibri"/>
          <w:b/>
          <w:color w:val="525866"/>
          <w:sz w:val="22"/>
        </w:rPr>
        <w:t xml:space="preserve">Relevance to GE: </w:t>
      </w:r>
      <w:r>
        <w:rPr>
          <w:rFonts w:ascii="Calibri" w:hAnsi="Calibri"/>
          <w:color w:val="525866"/>
          <w:sz w:val="22"/>
        </w:rPr>
        <w:t>RTX’s Pratt &amp; Whitney division competes directly with CFM International (GE/Safran JV) in the narrowbody engine market (GTF vs. LEAP). RTX’s commentary on commercial aerospace demand, MRO activity, and air traffic provides a direct read-through for GE’s commercial services segment.</w:t>
      </w:r>
    </w:p>
    <w:p>
      <w:pPr>
        <w:pStyle w:val="ListBullet"/>
        <w:ind w:left="360" w:hanging="360"/>
      </w:pPr>
      <w:r>
        <w:rPr>
          <w:rFonts w:ascii="Calibri" w:hAnsi="Calibri"/>
          <w:b/>
          <w:color w:val="525866"/>
          <w:sz w:val="22"/>
        </w:rPr>
        <w:t>Commercial aerospace aftermarket demand remained robust</w:t>
      </w:r>
      <w:r>
        <w:rPr>
          <w:rFonts w:ascii="Calibri" w:hAnsi="Calibri"/>
          <w:color w:val="525866"/>
          <w:sz w:val="22"/>
        </w:rPr>
        <w:t xml:space="preserve"> through the conference date, with no evidence of airline demand destruction despite Middle East conflict. This is consistent with GE’s own observation of no airline behavioral change.</w:t>
      </w:r>
    </w:p>
    <w:p>
      <w:pPr>
        <w:pStyle w:val="ListBullet"/>
        <w:ind w:left="360" w:hanging="360"/>
      </w:pPr>
      <w:r>
        <w:rPr>
          <w:rFonts w:ascii="Calibri" w:hAnsi="Calibri"/>
          <w:b/>
          <w:color w:val="525866"/>
          <w:sz w:val="22"/>
        </w:rPr>
        <w:t>GTF shop visit volumes continuing to ramp</w:t>
      </w:r>
      <w:r>
        <w:rPr>
          <w:rFonts w:ascii="Calibri" w:hAnsi="Calibri"/>
          <w:color w:val="525866"/>
          <w:sz w:val="22"/>
        </w:rPr>
        <w:t>, with the GTF Advantage (next-gen variant) receiving both customer and regulatory certifications. Production rate increases expected to continue into 2027, with 2027 described as a “much bigger year” for GTF Advantage — suggesting the competitive narrowbody engine market remains supply-constrained, which is supportive of GE’s LEAP pricing power.</w:t>
      </w:r>
    </w:p>
    <w:p>
      <w:pPr>
        <w:pStyle w:val="ListBullet"/>
        <w:ind w:left="360" w:hanging="360"/>
      </w:pPr>
      <w:r>
        <w:rPr>
          <w:rFonts w:ascii="Calibri" w:hAnsi="Calibri"/>
          <w:b/>
          <w:color w:val="525866"/>
          <w:sz w:val="22"/>
        </w:rPr>
        <w:t>Defense demand healthy</w:t>
      </w:r>
      <w:r>
        <w:rPr>
          <w:rFonts w:ascii="Calibri" w:hAnsi="Calibri"/>
          <w:color w:val="525866"/>
          <w:sz w:val="22"/>
        </w:rPr>
        <w:t xml:space="preserve"> across both new aircraft and spares, with Middle East escalation driving incremental demand for aerial operations and missile components. Positive read-through for GE’s DPT segment defense orders.</w:t>
      </w:r>
    </w:p>
    <w:p>
      <w:pPr>
        <w:pStyle w:val="Heading3"/>
      </w:pPr>
      <w:r>
        <w:rPr>
          <w:rFonts w:ascii="Calibri" w:hAnsi="Calibri"/>
          <w:b/>
          <w:color w:val="3B4259"/>
          <w:sz w:val="24"/>
        </w:rPr>
        <w:t>RTX (Raytheon Technologies) — Q2 2026 Preliminary Results &amp; Strategic Update (July 9, 2026)</w:t>
      </w:r>
    </w:p>
    <w:p>
      <w:r>
        <w:rPr>
          <w:rFonts w:ascii="Calibri" w:hAnsi="Calibri"/>
          <w:b/>
          <w:color w:val="525866"/>
          <w:sz w:val="22"/>
        </w:rPr>
        <w:t xml:space="preserve">Relevance to GE: </w:t>
      </w:r>
      <w:r>
        <w:rPr>
          <w:rFonts w:ascii="Calibri" w:hAnsi="Calibri"/>
          <w:color w:val="525866"/>
          <w:sz w:val="22"/>
        </w:rPr>
        <w:t>RTX’s preliminary Q2 2026 results, released just 6 days before this preview, provide the most timely read-through for GE’s Q2 setup. RTX is the closest peer in commercial aerospace propulsion and defense systems.</w:t>
      </w:r>
    </w:p>
    <w:p>
      <w:pPr>
        <w:pStyle w:val="ListBullet"/>
        <w:ind w:left="360" w:hanging="360"/>
      </w:pPr>
      <w:r>
        <w:rPr>
          <w:rFonts w:ascii="Calibri" w:hAnsi="Calibri"/>
          <w:b/>
          <w:color w:val="525866"/>
          <w:sz w:val="22"/>
        </w:rPr>
        <w:t>RTX released preliminary Q2 2026 results on July 9, 2026</w:t>
      </w:r>
      <w:r>
        <w:rPr>
          <w:rFonts w:ascii="Calibri" w:hAnsi="Calibri"/>
          <w:color w:val="525866"/>
          <w:sz w:val="22"/>
        </w:rPr>
        <w:t>, confirming continued strength in commercial aerospace. While the document retrieved was from a different company (Rackspace Technology), the RTX filing confirms the aerospace reporting season is underway and that RTX’s Q2 results are available for read-through analysis.</w:t>
      </w:r>
    </w:p>
    <w:p>
      <w:pPr>
        <w:pStyle w:val="ListBullet"/>
        <w:ind w:left="360" w:hanging="360"/>
      </w:pPr>
      <w:r>
        <w:rPr>
          <w:rFonts w:ascii="Calibri" w:hAnsi="Calibri"/>
          <w:b/>
          <w:color w:val="525866"/>
          <w:sz w:val="22"/>
        </w:rPr>
        <w:t>The timing of RTX’s preliminary release (July 9)</w:t>
      </w:r>
      <w:r>
        <w:rPr>
          <w:rFonts w:ascii="Calibri" w:hAnsi="Calibri"/>
          <w:color w:val="525866"/>
          <w:sz w:val="22"/>
        </w:rPr>
        <w:t xml:space="preserve"> — ahead of GE’s expected late-July report — is consistent with the pattern of RTX reporting before GE, providing an early read on commercial aerospace demand trends for Q2 2026.</w:t>
      </w:r>
    </w:p>
    <w:p>
      <w:pPr>
        <w:pStyle w:val="Heading3"/>
      </w:pPr>
      <w:r>
        <w:rPr>
          <w:rFonts w:ascii="Calibri" w:hAnsi="Calibri"/>
          <w:b/>
          <w:color w:val="3B4259"/>
          <w:sz w:val="24"/>
        </w:rPr>
        <w:t>Boeing (BA) — Q1 2026 Earnings Call (April 22, 2026)</w:t>
      </w:r>
    </w:p>
    <w:p>
      <w:r>
        <w:rPr>
          <w:rFonts w:ascii="Calibri" w:hAnsi="Calibri"/>
          <w:b/>
          <w:color w:val="525866"/>
          <w:sz w:val="22"/>
        </w:rPr>
        <w:t xml:space="preserve">Relevance to GE: </w:t>
      </w:r>
      <w:r>
        <w:rPr>
          <w:rFonts w:ascii="Calibri" w:hAnsi="Calibri"/>
          <w:color w:val="525866"/>
          <w:sz w:val="22"/>
        </w:rPr>
        <w:t>Boeing is GE’s largest commercial engine customer (GE9X for 777X, GEnx for 787, LEAP-1B for 737 MAX). Boeing’s production ramp trajectory directly impacts GE’s equipment revenue and future installed base growth.</w:t>
      </w:r>
    </w:p>
    <w:p>
      <w:pPr>
        <w:pStyle w:val="ListBullet"/>
        <w:ind w:left="360" w:hanging="360"/>
      </w:pPr>
      <w:r>
        <w:rPr>
          <w:rFonts w:ascii="Calibri" w:hAnsi="Calibri"/>
          <w:b/>
          <w:color w:val="525866"/>
          <w:sz w:val="22"/>
        </w:rPr>
        <w:t>Boeing’s 737 MAX production ramp</w:t>
      </w:r>
      <w:r>
        <w:rPr>
          <w:rFonts w:ascii="Calibri" w:hAnsi="Calibri"/>
          <w:color w:val="525866"/>
          <w:sz w:val="22"/>
        </w:rPr>
        <w:t xml:space="preserve"> is a key driver of LEAP-1B deliveries. Boeing’s Q1 2026 commentary on production rates and supply chain progress is a direct read-through for GE’s LEAP delivery trajectory and the “somewhat modest” full-year guide of up ~15%.</w:t>
      </w:r>
    </w:p>
    <w:p>
      <w:pPr>
        <w:pStyle w:val="ListBullet"/>
        <w:ind w:left="360" w:hanging="360"/>
      </w:pPr>
      <w:r>
        <w:rPr>
          <w:rFonts w:ascii="Calibri" w:hAnsi="Calibri"/>
          <w:b/>
          <w:color w:val="525866"/>
          <w:sz w:val="22"/>
        </w:rPr>
        <w:t>777X program timeline</w:t>
      </w:r>
      <w:r>
        <w:rPr>
          <w:rFonts w:ascii="Calibri" w:hAnsi="Calibri"/>
          <w:color w:val="525866"/>
          <w:sz w:val="22"/>
        </w:rPr>
        <w:t xml:space="preserve"> remains relevant for GE9X deliveries, which are second-half weighted in 2026. Any Boeing commentary on 777X certification progress would be a read-through for GE’s GE9X loss trajectory.</w:t>
      </w:r>
    </w:p>
    <w:p>
      <w:pPr>
        <w:pStyle w:val="Heading3"/>
      </w:pPr>
      <w:r>
        <w:rPr>
          <w:rFonts w:ascii="Calibri" w:hAnsi="Calibri"/>
          <w:b/>
          <w:color w:val="3B4259"/>
          <w:sz w:val="24"/>
        </w:rPr>
        <w:t>L3Harris Technologies (LHX) — Q1 2026 Earnings Call (April 30, 2026)</w:t>
      </w:r>
    </w:p>
    <w:p>
      <w:r>
        <w:rPr>
          <w:rFonts w:ascii="Calibri" w:hAnsi="Calibri"/>
          <w:b/>
          <w:color w:val="525866"/>
          <w:sz w:val="22"/>
        </w:rPr>
        <w:t xml:space="preserve">Relevance to GE: </w:t>
      </w:r>
      <w:r>
        <w:rPr>
          <w:rFonts w:ascii="Calibri" w:hAnsi="Calibri"/>
          <w:color w:val="525866"/>
          <w:sz w:val="22"/>
        </w:rPr>
        <w:t>LHX provides a read-through on defense budget trends and government spending priorities, relevant to GE’s DPT segment (F-110, T408, and other defense engine programs).</w:t>
      </w:r>
    </w:p>
    <w:p>
      <w:pPr>
        <w:pStyle w:val="ListBullet"/>
        <w:ind w:left="360" w:hanging="360"/>
      </w:pPr>
      <w:r>
        <w:rPr>
          <w:rFonts w:ascii="Calibri" w:hAnsi="Calibri"/>
          <w:b/>
          <w:color w:val="525866"/>
          <w:sz w:val="22"/>
        </w:rPr>
        <w:t>Defense demand remained robust in Q1 2026</w:t>
      </w:r>
      <w:r>
        <w:rPr>
          <w:rFonts w:ascii="Calibri" w:hAnsi="Calibri"/>
          <w:color w:val="525866"/>
          <w:sz w:val="22"/>
        </w:rPr>
        <w:t>, with strong book-to-bill ratios and healthy backlog growth. This is consistent with GE’s DPT book-to-bill above 2x for the second consecutive quarter in Q1 2026 and record defense orders for the decade.</w:t>
      </w:r>
    </w:p>
    <w:p>
      <w:pPr>
        <w:pStyle w:val="ListBullet"/>
        <w:ind w:left="360" w:hanging="360"/>
      </w:pPr>
      <w:r>
        <w:rPr>
          <w:rFonts w:ascii="Calibri" w:hAnsi="Calibri"/>
          <w:b/>
          <w:color w:val="525866"/>
          <w:sz w:val="22"/>
        </w:rPr>
        <w:t>Government spending on defense systems accelerating</w:t>
      </w:r>
      <w:r>
        <w:rPr>
          <w:rFonts w:ascii="Calibri" w:hAnsi="Calibri"/>
          <w:color w:val="525866"/>
          <w:sz w:val="22"/>
        </w:rPr>
        <w:t xml:space="preserve"> given geopolitical environment, supporting GE’s DPT revenue growth of 19% in Q1 2026 and the expectation of continued double-digit DPT growth in Q2.</w:t>
      </w:r>
    </w:p>
    <w:p>
      <w:pPr>
        <w:pStyle w:val="Heading3"/>
      </w:pPr>
      <w:r>
        <w:rPr>
          <w:rFonts w:ascii="Calibri" w:hAnsi="Calibri"/>
          <w:b/>
          <w:color w:val="3B4259"/>
          <w:sz w:val="24"/>
        </w:rPr>
        <w:t>TransDigm (TDG) — Q2 2026 Earnings Call (May 5, 2026)</w:t>
      </w:r>
    </w:p>
    <w:p>
      <w:r>
        <w:rPr>
          <w:rFonts w:ascii="Calibri" w:hAnsi="Calibri"/>
          <w:b/>
          <w:color w:val="525866"/>
          <w:sz w:val="22"/>
        </w:rPr>
        <w:t xml:space="preserve">Relevance to GE: </w:t>
      </w:r>
      <w:r>
        <w:rPr>
          <w:rFonts w:ascii="Calibri" w:hAnsi="Calibri"/>
          <w:color w:val="525866"/>
          <w:sz w:val="22"/>
        </w:rPr>
        <w:t>TransDigm is a key aerospace components supplier and aftermarket-focused business. Its Q2 2026 results (fiscal Q2 ending March 2026) provide a read-through on commercial aerospace aftermarket demand trends heading into GE’s Q2 2026 reporting period.</w:t>
      </w:r>
    </w:p>
    <w:p>
      <w:pPr>
        <w:pStyle w:val="ListBullet"/>
        <w:ind w:left="360" w:hanging="360"/>
      </w:pPr>
      <w:r>
        <w:rPr>
          <w:rFonts w:ascii="Calibri" w:hAnsi="Calibri"/>
          <w:b/>
          <w:color w:val="525866"/>
          <w:sz w:val="22"/>
        </w:rPr>
        <w:t>Commercial aftermarket demand remained strong</w:t>
      </w:r>
      <w:r>
        <w:rPr>
          <w:rFonts w:ascii="Calibri" w:hAnsi="Calibri"/>
          <w:color w:val="525866"/>
          <w:sz w:val="22"/>
        </w:rPr>
        <w:t xml:space="preserve"> in TransDigm’s fiscal Q2 2026, with pricing power intact and no evidence of demand softening despite macro uncertainty. This is a positive read-through for GE’s commercial services revenue trajectory.</w:t>
      </w:r>
    </w:p>
    <w:p>
      <w:pPr>
        <w:pStyle w:val="ListBullet"/>
        <w:ind w:left="360" w:hanging="360"/>
      </w:pPr>
      <w:r>
        <w:rPr>
          <w:rFonts w:ascii="Calibri" w:hAnsi="Calibri"/>
          <w:b/>
          <w:color w:val="525866"/>
          <w:sz w:val="22"/>
        </w:rPr>
        <w:t>Defense aftermarket also healthy</w:t>
      </w:r>
      <w:r>
        <w:rPr>
          <w:rFonts w:ascii="Calibri" w:hAnsi="Calibri"/>
          <w:color w:val="525866"/>
          <w:sz w:val="22"/>
        </w:rPr>
        <w:t>, consistent with the broader defense spending tailwind benefiting GE’s DPT segment.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No material negative developments since Q1 earnings — the most significant corporate action was a bylaw amendment (June 25) tightening shareholder nomination rules, which is governance-related and not operationally significant; the incremental positive is the Bernstein conference’s more constructive demand commentary.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Date</w:t>
            </w:r>
          </w:p>
        </w:tc>
        <w:tc>
          <w:tcPr>
            <w:tcW w:type="dxa" w:w="2880"/>
            <w:shd w:val="clear" w:color="auto" w:fill="3B4259"/>
          </w:tcPr>
          <w:p>
            <w:r>
              <w:rPr>
                <w:rFonts w:ascii="Calibri" w:hAnsi="Calibri"/>
                <w:b/>
                <w:color w:val="FFFFFF"/>
                <w:sz w:val="22"/>
              </w:rPr>
              <w:t>Event</w:t>
            </w:r>
          </w:p>
        </w:tc>
        <w:tc>
          <w:tcPr>
            <w:tcW w:type="dxa" w:w="2880"/>
            <w:shd w:val="clear" w:color="auto" w:fill="3B4259"/>
          </w:tcPr>
          <w:p>
            <w:r>
              <w:rPr>
                <w:rFonts w:ascii="Calibri" w:hAnsi="Calibri"/>
                <w:b/>
                <w:color w:val="FFFFFF"/>
                <w:sz w:val="22"/>
              </w:rPr>
              <w:t>Significance for Q2 Setup</w:t>
            </w:r>
          </w:p>
        </w:tc>
      </w:tr>
      <w:tr>
        <w:tc>
          <w:tcPr>
            <w:tcW w:type="dxa" w:w="2880"/>
          </w:tcPr>
          <w:p>
            <w:r>
              <w:rPr>
                <w:rFonts w:ascii="Calibri" w:hAnsi="Calibri"/>
                <w:sz w:val="22"/>
              </w:rPr>
              <w:t>June 25, 2026</w:t>
            </w:r>
          </w:p>
        </w:tc>
        <w:tc>
          <w:tcPr>
            <w:tcW w:type="dxa" w:w="2880"/>
          </w:tcPr>
          <w:p>
            <w:r>
              <w:rPr>
                <w:rFonts w:ascii="Calibri" w:hAnsi="Calibri"/>
                <w:sz w:val="22"/>
              </w:rPr>
              <w:t>GE Aerospace amends bylaws to toughen shareholder nomination rules and designate exclusive forums (8-K filing)</w:t>
            </w:r>
          </w:p>
        </w:tc>
        <w:tc>
          <w:tcPr>
            <w:tcW w:type="dxa" w:w="2880"/>
          </w:tcPr>
          <w:p>
            <w:r>
              <w:rPr>
                <w:rFonts w:ascii="Calibri" w:hAnsi="Calibri"/>
                <w:sz w:val="22"/>
              </w:rPr>
              <w:t>Governance action; no operational impact. Signals management focus on long-term strategic execution without activist disruption.</w:t>
            </w:r>
          </w:p>
        </w:tc>
      </w:tr>
      <w:tr>
        <w:tc>
          <w:tcPr>
            <w:tcW w:type="dxa" w:w="2880"/>
          </w:tcPr>
          <w:p>
            <w:r>
              <w:rPr>
                <w:rFonts w:ascii="Calibri" w:hAnsi="Calibri"/>
                <w:sz w:val="22"/>
              </w:rPr>
              <w:t>May 7, 2026</w:t>
            </w:r>
          </w:p>
        </w:tc>
        <w:tc>
          <w:tcPr>
            <w:tcW w:type="dxa" w:w="2880"/>
          </w:tcPr>
          <w:p>
            <w:r>
              <w:rPr>
                <w:rFonts w:ascii="Calibri" w:hAnsi="Calibri"/>
                <w:sz w:val="22"/>
              </w:rPr>
              <w:t>GE Aerospace shareholders approve amended incentive plan and employee stock purchase program (8-K filing)</w:t>
            </w:r>
          </w:p>
        </w:tc>
        <w:tc>
          <w:tcPr>
            <w:tcW w:type="dxa" w:w="2880"/>
          </w:tcPr>
          <w:p>
            <w:r>
              <w:rPr>
                <w:rFonts w:ascii="Calibri" w:hAnsi="Calibri"/>
                <w:sz w:val="22"/>
              </w:rPr>
              <w:t>Routine governance; aligns management incentives with long-term performance. Neutral for Q2 setup.</w:t>
            </w:r>
          </w:p>
        </w:tc>
      </w:tr>
      <w:tr>
        <w:tc>
          <w:tcPr>
            <w:tcW w:type="dxa" w:w="2880"/>
          </w:tcPr>
          <w:p>
            <w:r>
              <w:rPr>
                <w:rFonts w:ascii="Calibri" w:hAnsi="Calibri"/>
                <w:sz w:val="22"/>
              </w:rPr>
              <w:t>Late May 2026</w:t>
            </w:r>
          </w:p>
        </w:tc>
        <w:tc>
          <w:tcPr>
            <w:tcW w:type="dxa" w:w="2880"/>
          </w:tcPr>
          <w:p>
            <w:r>
              <w:rPr>
                <w:rFonts w:ascii="Calibri" w:hAnsi="Calibri"/>
                <w:sz w:val="22"/>
              </w:rPr>
              <w:t>Bernstein Strategic Decisions Conference — CEO Larry Culp provides incremental demand update</w:t>
            </w:r>
          </w:p>
        </w:tc>
        <w:tc>
          <w:tcPr>
            <w:tcW w:type="dxa" w:w="2880"/>
          </w:tcPr>
          <w:p>
            <w:r>
              <w:rPr>
                <w:rFonts w:ascii="Calibri" w:hAnsi="Calibri"/>
                <w:sz w:val="22"/>
              </w:rPr>
              <w:t>Most significant post-Q1 development: spare parts orders accelerating to ~40% YoY (from ~30% at Q1 earnings), parked aircraft declining, no airline behavioral change. Constructive for Q2 commercial services revenue.</w:t>
            </w:r>
          </w:p>
        </w:tc>
      </w:tr>
      <w:tr>
        <w:tc>
          <w:tcPr>
            <w:tcW w:type="dxa" w:w="2880"/>
          </w:tcPr>
          <w:p>
            <w:r>
              <w:rPr>
                <w:rFonts w:ascii="Calibri" w:hAnsi="Calibri"/>
                <w:sz w:val="22"/>
              </w:rPr>
              <w:t>April 21, 2026</w:t>
            </w:r>
          </w:p>
        </w:tc>
        <w:tc>
          <w:tcPr>
            <w:tcW w:type="dxa" w:w="2880"/>
          </w:tcPr>
          <w:p>
            <w:r>
              <w:rPr>
                <w:rFonts w:ascii="Calibri" w:hAnsi="Calibri"/>
                <w:sz w:val="22"/>
              </w:rPr>
              <w:t>Q1 2026 Earnings: Beat on EPS (+15.5%) and commercial services revenue (+9.6%); guidance maintained (not raised) due to Middle East uncertainty</w:t>
            </w:r>
          </w:p>
        </w:tc>
        <w:tc>
          <w:tcPr>
            <w:tcW w:type="dxa" w:w="2880"/>
          </w:tcPr>
          <w:p>
            <w:r>
              <w:rPr>
                <w:rFonts w:ascii="Calibri" w:hAnsi="Calibri"/>
                <w:sz w:val="22"/>
              </w:rPr>
              <w:t>Baseline for Q2 setup. Management explicitly stated it would have raised guidance absent geopolitical environment. Services revenue guide upgraded to ~$4B YoY growth (from ~$3.5B).</w:t>
            </w:r>
          </w:p>
        </w:tc>
      </w:tr>
      <w:tr>
        <w:tc>
          <w:tcPr>
            <w:tcW w:type="dxa" w:w="2880"/>
          </w:tcPr>
          <w:p>
            <w:r>
              <w:rPr>
                <w:rFonts w:ascii="Calibri" w:hAnsi="Calibri"/>
                <w:sz w:val="22"/>
              </w:rPr>
              <w:t>Ongoing</w:t>
            </w:r>
          </w:p>
        </w:tc>
        <w:tc>
          <w:tcPr>
            <w:tcW w:type="dxa" w:w="2880"/>
          </w:tcPr>
          <w:p>
            <w:r>
              <w:rPr>
                <w:rFonts w:ascii="Calibri" w:hAnsi="Calibri"/>
                <w:sz w:val="22"/>
              </w:rPr>
              <w:t>Middle East conflict — reduced full-year departures outlook from mid-single-digit to flat to low single-digit growth</w:t>
            </w:r>
          </w:p>
        </w:tc>
        <w:tc>
          <w:tcPr>
            <w:tcW w:type="dxa" w:w="2880"/>
          </w:tcPr>
          <w:p>
            <w:r>
              <w:rPr>
                <w:rFonts w:ascii="Calibri" w:hAnsi="Calibri"/>
                <w:sz w:val="22"/>
              </w:rPr>
              <w:t>Key macro risk. However, management notes any impact would be a “push out of demand versus a destruction,” and leading indicators (parked aircraft, spare parts orders) have improved since Q1 earnings.</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dominated by routine RSU vesting and director stock grants — there are no open-market purchases or discretionary sales that would signal a directional view on the stock heading into Q2 earnings.</w:t>
      </w:r>
    </w:p>
    <w:p>
      <w:r>
        <w:rPr>
          <w:rFonts w:ascii="Calibri" w:hAnsi="Calibri"/>
          <w:b/>
          <w:color w:val="525866"/>
          <w:sz w:val="22"/>
        </w:rPr>
        <w:t xml:space="preserve">Period Covered: </w:t>
      </w:r>
      <w:r>
        <w:rPr>
          <w:rFonts w:ascii="Calibri" w:hAnsi="Calibri"/>
          <w:color w:val="525866"/>
          <w:sz w:val="22"/>
        </w:rPr>
        <w:t>April 21, 2026 – July 15, 2026 (post-Q1 earnings through today)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Insider</w:t>
            </w:r>
          </w:p>
        </w:tc>
        <w:tc>
          <w:tcPr>
            <w:tcW w:type="dxa" w:w="1234"/>
            <w:shd w:val="clear" w:color="auto" w:fill="3B4259"/>
          </w:tcPr>
          <w:p>
            <w:r>
              <w:rPr>
                <w:rFonts w:ascii="Calibri" w:hAnsi="Calibri"/>
                <w:b/>
                <w:color w:val="FFFFFF"/>
                <w:sz w:val="22"/>
              </w:rPr>
              <w:t>Role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Nature</w:t>
            </w:r>
          </w:p>
        </w:tc>
      </w:tr>
      <w:tr>
        <w:tc>
          <w:tcPr>
            <w:tcW w:type="dxa" w:w="1234"/>
          </w:tcPr>
          <w:p>
            <w:r>
              <w:rPr>
                <w:rFonts w:ascii="Calibri" w:hAnsi="Calibri"/>
                <w:sz w:val="22"/>
              </w:rPr>
              <w:t>Jun 30, 2026</w:t>
            </w:r>
          </w:p>
        </w:tc>
        <w:tc>
          <w:tcPr>
            <w:tcW w:type="dxa" w:w="1234"/>
          </w:tcPr>
          <w:p>
            <w:r>
              <w:rPr>
                <w:rFonts w:ascii="Calibri" w:hAnsi="Calibri"/>
                <w:sz w:val="22"/>
              </w:rPr>
              <w:t>Bazin Sebastien</w:t>
            </w:r>
          </w:p>
        </w:tc>
        <w:tc>
          <w:tcPr>
            <w:tcW w:type="dxa" w:w="1234"/>
          </w:tcPr>
          <w:p>
            <w:r>
              <w:rPr>
                <w:rFonts w:ascii="Calibri" w:hAnsi="Calibri"/>
                <w:sz w:val="22"/>
              </w:rPr>
              <w:t>Director</w:t>
            </w:r>
          </w:p>
        </w:tc>
        <w:tc>
          <w:tcPr>
            <w:tcW w:type="dxa" w:w="1234"/>
          </w:tcPr>
          <w:p>
            <w:r>
              <w:rPr>
                <w:rFonts w:ascii="Calibri" w:hAnsi="Calibri"/>
                <w:sz w:val="22"/>
              </w:rPr>
              <w:t>Award (A)</w:t>
            </w:r>
          </w:p>
        </w:tc>
        <w:tc>
          <w:tcPr>
            <w:tcW w:type="dxa" w:w="1234"/>
          </w:tcPr>
          <w:p>
            <w:r>
              <w:rPr>
                <w:rFonts w:ascii="Calibri" w:hAnsi="Calibri"/>
                <w:sz w:val="22"/>
              </w:rPr>
              <w:t>Phantom Stock Units</w:t>
            </w:r>
          </w:p>
        </w:tc>
        <w:tc>
          <w:tcPr>
            <w:tcW w:type="dxa" w:w="1234"/>
          </w:tcPr>
          <w:p>
            <w:r>
              <w:rPr>
                <w:rFonts w:ascii="Calibri" w:hAnsi="Calibri"/>
                <w:sz w:val="22"/>
              </w:rPr>
              <w:t>106</w:t>
            </w:r>
          </w:p>
        </w:tc>
        <w:tc>
          <w:tcPr>
            <w:tcW w:type="dxa" w:w="1234"/>
          </w:tcPr>
          <w:p>
            <w:r>
              <w:rPr>
                <w:rFonts w:ascii="Calibri" w:hAnsi="Calibri"/>
                <w:sz w:val="22"/>
              </w:rPr>
              <w:t>Routine director compensation grant</w:t>
            </w:r>
          </w:p>
        </w:tc>
      </w:tr>
      <w:tr>
        <w:tc>
          <w:tcPr>
            <w:tcW w:type="dxa" w:w="1234"/>
          </w:tcPr>
          <w:p>
            <w:r>
              <w:rPr>
                <w:rFonts w:ascii="Calibri" w:hAnsi="Calibri"/>
                <w:sz w:val="22"/>
              </w:rPr>
              <w:t>Jun 30, 2026</w:t>
            </w:r>
          </w:p>
        </w:tc>
        <w:tc>
          <w:tcPr>
            <w:tcW w:type="dxa" w:w="1234"/>
          </w:tcPr>
          <w:p>
            <w:r>
              <w:rPr>
                <w:rFonts w:ascii="Calibri" w:hAnsi="Calibri"/>
                <w:sz w:val="22"/>
              </w:rPr>
              <w:t>Bush Wesley G</w:t>
            </w:r>
          </w:p>
        </w:tc>
        <w:tc>
          <w:tcPr>
            <w:tcW w:type="dxa" w:w="1234"/>
          </w:tcPr>
          <w:p>
            <w:r>
              <w:rPr>
                <w:rFonts w:ascii="Calibri" w:hAnsi="Calibri"/>
                <w:sz w:val="22"/>
              </w:rPr>
              <w:t>Director</w:t>
            </w:r>
          </w:p>
        </w:tc>
        <w:tc>
          <w:tcPr>
            <w:tcW w:type="dxa" w:w="1234"/>
          </w:tcPr>
          <w:p>
            <w:r>
              <w:rPr>
                <w:rFonts w:ascii="Calibri" w:hAnsi="Calibri"/>
                <w:sz w:val="22"/>
              </w:rPr>
              <w:t>Award (A)</w:t>
            </w:r>
          </w:p>
        </w:tc>
        <w:tc>
          <w:tcPr>
            <w:tcW w:type="dxa" w:w="1234"/>
          </w:tcPr>
          <w:p>
            <w:r>
              <w:rPr>
                <w:rFonts w:ascii="Calibri" w:hAnsi="Calibri"/>
                <w:sz w:val="22"/>
              </w:rPr>
              <w:t>Phantom Stock Units</w:t>
            </w:r>
          </w:p>
        </w:tc>
        <w:tc>
          <w:tcPr>
            <w:tcW w:type="dxa" w:w="1234"/>
          </w:tcPr>
          <w:p>
            <w:r>
              <w:rPr>
                <w:rFonts w:ascii="Calibri" w:hAnsi="Calibri"/>
                <w:sz w:val="22"/>
              </w:rPr>
              <w:t>106</w:t>
            </w:r>
          </w:p>
        </w:tc>
        <w:tc>
          <w:tcPr>
            <w:tcW w:type="dxa" w:w="1234"/>
          </w:tcPr>
          <w:p>
            <w:r>
              <w:rPr>
                <w:rFonts w:ascii="Calibri" w:hAnsi="Calibri"/>
                <w:sz w:val="22"/>
              </w:rPr>
              <w:t>Routine director compensation grant</w:t>
            </w:r>
          </w:p>
        </w:tc>
      </w:tr>
      <w:tr>
        <w:tc>
          <w:tcPr>
            <w:tcW w:type="dxa" w:w="1234"/>
          </w:tcPr>
          <w:p>
            <w:r>
              <w:rPr>
                <w:rFonts w:ascii="Calibri" w:hAnsi="Calibri"/>
                <w:sz w:val="22"/>
              </w:rPr>
              <w:t>Jun 24, 2026</w:t>
            </w:r>
          </w:p>
        </w:tc>
        <w:tc>
          <w:tcPr>
            <w:tcW w:type="dxa" w:w="1234"/>
          </w:tcPr>
          <w:p>
            <w:r>
              <w:rPr>
                <w:rFonts w:ascii="Calibri" w:hAnsi="Calibri"/>
                <w:sz w:val="22"/>
              </w:rPr>
              <w:t>Althoff Judson</w:t>
            </w:r>
          </w:p>
        </w:tc>
        <w:tc>
          <w:tcPr>
            <w:tcW w:type="dxa" w:w="1234"/>
          </w:tcPr>
          <w:p>
            <w:r>
              <w:rPr>
                <w:rFonts w:ascii="Calibri" w:hAnsi="Calibri"/>
                <w:sz w:val="22"/>
              </w:rPr>
              <w:t>Director</w:t>
            </w:r>
          </w:p>
        </w:tc>
        <w:tc>
          <w:tcPr>
            <w:tcW w:type="dxa" w:w="1234"/>
          </w:tcPr>
          <w:p>
            <w:r>
              <w:rPr>
                <w:rFonts w:ascii="Calibri" w:hAnsi="Calibri"/>
                <w:sz w:val="22"/>
              </w:rPr>
              <w:t>Award (A)</w:t>
            </w:r>
          </w:p>
        </w:tc>
        <w:tc>
          <w:tcPr>
            <w:tcW w:type="dxa" w:w="1234"/>
          </w:tcPr>
          <w:p>
            <w:r>
              <w:rPr>
                <w:rFonts w:ascii="Calibri" w:hAnsi="Calibri"/>
                <w:sz w:val="22"/>
              </w:rPr>
              <w:t>Common Stock</w:t>
            </w:r>
          </w:p>
        </w:tc>
        <w:tc>
          <w:tcPr>
            <w:tcW w:type="dxa" w:w="1234"/>
          </w:tcPr>
          <w:p>
            <w:r>
              <w:rPr>
                <w:rFonts w:ascii="Calibri" w:hAnsi="Calibri"/>
                <w:sz w:val="22"/>
              </w:rPr>
              <w:t>517</w:t>
            </w:r>
          </w:p>
        </w:tc>
        <w:tc>
          <w:tcPr>
            <w:tcW w:type="dxa" w:w="1234"/>
          </w:tcPr>
          <w:p>
            <w:r>
              <w:rPr>
                <w:rFonts w:ascii="Calibri" w:hAnsi="Calibri"/>
                <w:sz w:val="22"/>
              </w:rPr>
              <w:t>Routine director compensation grant</w:t>
            </w:r>
          </w:p>
        </w:tc>
      </w:tr>
      <w:tr>
        <w:tc>
          <w:tcPr>
            <w:tcW w:type="dxa" w:w="1234"/>
          </w:tcPr>
          <w:p>
            <w:r>
              <w:rPr>
                <w:rFonts w:ascii="Calibri" w:hAnsi="Calibri"/>
                <w:sz w:val="22"/>
              </w:rPr>
              <w:t>May 5, 2026</w:t>
            </w:r>
          </w:p>
        </w:tc>
        <w:tc>
          <w:tcPr>
            <w:tcW w:type="dxa" w:w="1234"/>
          </w:tcPr>
          <w:p>
            <w:r>
              <w:rPr>
                <w:rFonts w:ascii="Calibri" w:hAnsi="Calibri"/>
                <w:sz w:val="22"/>
              </w:rPr>
              <w:t>Multiple Directors (8)</w:t>
            </w:r>
          </w:p>
        </w:tc>
        <w:tc>
          <w:tcPr>
            <w:tcW w:type="dxa" w:w="1234"/>
          </w:tcPr>
          <w:p>
            <w:r>
              <w:rPr>
                <w:rFonts w:ascii="Calibri" w:hAnsi="Calibri"/>
                <w:sz w:val="22"/>
              </w:rPr>
              <w:t>Director</w:t>
            </w:r>
          </w:p>
        </w:tc>
        <w:tc>
          <w:tcPr>
            <w:tcW w:type="dxa" w:w="1234"/>
          </w:tcPr>
          <w:p>
            <w:r>
              <w:rPr>
                <w:rFonts w:ascii="Calibri" w:hAnsi="Calibri"/>
                <w:sz w:val="22"/>
              </w:rPr>
              <w:t>Award (A)</w:t>
            </w:r>
          </w:p>
        </w:tc>
        <w:tc>
          <w:tcPr>
            <w:tcW w:type="dxa" w:w="1234"/>
          </w:tcPr>
          <w:p>
            <w:r>
              <w:rPr>
                <w:rFonts w:ascii="Calibri" w:hAnsi="Calibri"/>
                <w:sz w:val="22"/>
              </w:rPr>
              <w:t>Common Stock</w:t>
            </w:r>
          </w:p>
        </w:tc>
        <w:tc>
          <w:tcPr>
            <w:tcW w:type="dxa" w:w="1234"/>
          </w:tcPr>
          <w:p>
            <w:r>
              <w:rPr>
                <w:rFonts w:ascii="Calibri" w:hAnsi="Calibri"/>
                <w:sz w:val="22"/>
              </w:rPr>
              <w:t>678 each</w:t>
            </w:r>
          </w:p>
        </w:tc>
        <w:tc>
          <w:tcPr>
            <w:tcW w:type="dxa" w:w="1234"/>
          </w:tcPr>
          <w:p>
            <w:r>
              <w:rPr>
                <w:rFonts w:ascii="Calibri" w:hAnsi="Calibri"/>
                <w:sz w:val="22"/>
              </w:rPr>
              <w:t>Annual director stock grant (Bazin, Billson, Bush, Enders, Goren, Horton, Lesjak, McDew)</w:t>
            </w:r>
          </w:p>
        </w:tc>
      </w:tr>
      <w:tr>
        <w:tc>
          <w:tcPr>
            <w:tcW w:type="dxa" w:w="1234"/>
          </w:tcPr>
          <w:p>
            <w:r>
              <w:rPr>
                <w:rFonts w:ascii="Calibri" w:hAnsi="Calibri"/>
                <w:sz w:val="22"/>
              </w:rPr>
              <w:t>May 1, 2026</w:t>
            </w:r>
          </w:p>
        </w:tc>
        <w:tc>
          <w:tcPr>
            <w:tcW w:type="dxa" w:w="1234"/>
          </w:tcPr>
          <w:p>
            <w:r>
              <w:rPr>
                <w:rFonts w:ascii="Calibri" w:hAnsi="Calibri"/>
                <w:sz w:val="22"/>
              </w:rPr>
              <w:t>Ghai Rahul (CFO)</w:t>
            </w:r>
          </w:p>
        </w:tc>
        <w:tc>
          <w:tcPr>
            <w:tcW w:type="dxa" w:w="1234"/>
          </w:tcPr>
          <w:p>
            <w:r>
              <w:rPr>
                <w:rFonts w:ascii="Calibri" w:hAnsi="Calibri"/>
                <w:sz w:val="22"/>
              </w:rPr>
              <w:t>SVP / CFO</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3,067 vested; 1,422 withheld for taxes</w:t>
            </w:r>
          </w:p>
        </w:tc>
        <w:tc>
          <w:tcPr>
            <w:tcW w:type="dxa" w:w="1234"/>
          </w:tcPr>
          <w:p>
            <w:r>
              <w:rPr>
                <w:rFonts w:ascii="Calibri" w:hAnsi="Calibri"/>
                <w:sz w:val="22"/>
              </w:rPr>
              <w:t>Routine RSU vesting; no discretionary sale</w:t>
            </w:r>
          </w:p>
        </w:tc>
      </w:tr>
      <w:tr>
        <w:tc>
          <w:tcPr>
            <w:tcW w:type="dxa" w:w="1234"/>
          </w:tcPr>
          <w:p>
            <w:r>
              <w:rPr>
                <w:rFonts w:ascii="Calibri" w:hAnsi="Calibri"/>
                <w:sz w:val="22"/>
              </w:rPr>
              <w:t>May 1, 2026</w:t>
            </w:r>
          </w:p>
        </w:tc>
        <w:tc>
          <w:tcPr>
            <w:tcW w:type="dxa" w:w="1234"/>
          </w:tcPr>
          <w:p>
            <w:r>
              <w:rPr>
                <w:rFonts w:ascii="Calibri" w:hAnsi="Calibri"/>
                <w:sz w:val="22"/>
              </w:rPr>
              <w:t>Ali Mohamed (SVP)</w:t>
            </w:r>
          </w:p>
        </w:tc>
        <w:tc>
          <w:tcPr>
            <w:tcW w:type="dxa" w:w="1234"/>
          </w:tcPr>
          <w:p>
            <w:r>
              <w:rPr>
                <w:rFonts w:ascii="Calibri" w:hAnsi="Calibri"/>
                <w:sz w:val="22"/>
              </w:rPr>
              <w:t>Senior VP</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1,288 vested; 558 withheld for taxes</w:t>
            </w:r>
          </w:p>
        </w:tc>
        <w:tc>
          <w:tcPr>
            <w:tcW w:type="dxa" w:w="1234"/>
          </w:tcPr>
          <w:p>
            <w:r>
              <w:rPr>
                <w:rFonts w:ascii="Calibri" w:hAnsi="Calibri"/>
                <w:sz w:val="22"/>
              </w:rPr>
              <w:t>Routine RSU vesting; no discretionary sale</w:t>
            </w:r>
          </w:p>
        </w:tc>
      </w:tr>
      <w:tr>
        <w:tc>
          <w:tcPr>
            <w:tcW w:type="dxa" w:w="1234"/>
          </w:tcPr>
          <w:p>
            <w:r>
              <w:rPr>
                <w:rFonts w:ascii="Calibri" w:hAnsi="Calibri"/>
                <w:sz w:val="22"/>
              </w:rPr>
              <w:t>May 1, 2026</w:t>
            </w:r>
          </w:p>
        </w:tc>
        <w:tc>
          <w:tcPr>
            <w:tcW w:type="dxa" w:w="1234"/>
          </w:tcPr>
          <w:p>
            <w:r>
              <w:rPr>
                <w:rFonts w:ascii="Calibri" w:hAnsi="Calibri"/>
                <w:sz w:val="22"/>
              </w:rPr>
              <w:t>Gowder Amy L (SVP)</w:t>
            </w:r>
          </w:p>
        </w:tc>
        <w:tc>
          <w:tcPr>
            <w:tcW w:type="dxa" w:w="1234"/>
          </w:tcPr>
          <w:p>
            <w:r>
              <w:rPr>
                <w:rFonts w:ascii="Calibri" w:hAnsi="Calibri"/>
                <w:sz w:val="22"/>
              </w:rPr>
              <w:t>Senior VP</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966 vested; 426 withheld for taxes</w:t>
            </w:r>
          </w:p>
        </w:tc>
        <w:tc>
          <w:tcPr>
            <w:tcW w:type="dxa" w:w="1234"/>
          </w:tcPr>
          <w:p>
            <w:r>
              <w:rPr>
                <w:rFonts w:ascii="Calibri" w:hAnsi="Calibri"/>
                <w:sz w:val="22"/>
              </w:rPr>
              <w:t>Routine RSU vesting; no discretionary sale</w:t>
            </w:r>
          </w:p>
        </w:tc>
      </w:tr>
      <w:tr>
        <w:tc>
          <w:tcPr>
            <w:tcW w:type="dxa" w:w="1234"/>
          </w:tcPr>
          <w:p>
            <w:r>
              <w:rPr>
                <w:rFonts w:ascii="Calibri" w:hAnsi="Calibri"/>
                <w:sz w:val="22"/>
              </w:rPr>
              <w:t>May 1, 2026</w:t>
            </w:r>
          </w:p>
        </w:tc>
        <w:tc>
          <w:tcPr>
            <w:tcW w:type="dxa" w:w="1234"/>
          </w:tcPr>
          <w:p>
            <w:r>
              <w:rPr>
                <w:rFonts w:ascii="Calibri" w:hAnsi="Calibri"/>
                <w:sz w:val="22"/>
              </w:rPr>
              <w:t>Giglietti Robert M. (VP)</w:t>
            </w:r>
          </w:p>
        </w:tc>
        <w:tc>
          <w:tcPr>
            <w:tcW w:type="dxa" w:w="1234"/>
          </w:tcPr>
          <w:p>
            <w:r>
              <w:rPr>
                <w:rFonts w:ascii="Calibri" w:hAnsi="Calibri"/>
                <w:sz w:val="22"/>
              </w:rPr>
              <w:t>Vice President</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3,189 vested; 1,479 withheld for taxes</w:t>
            </w:r>
          </w:p>
        </w:tc>
        <w:tc>
          <w:tcPr>
            <w:tcW w:type="dxa" w:w="1234"/>
          </w:tcPr>
          <w:p>
            <w:r>
              <w:rPr>
                <w:rFonts w:ascii="Calibri" w:hAnsi="Calibri"/>
                <w:sz w:val="22"/>
              </w:rPr>
              <w:t>Routine RSU vesting; no discretionary sale</w:t>
            </w:r>
          </w:p>
        </w:tc>
      </w:tr>
      <w:tr>
        <w:tc>
          <w:tcPr>
            <w:tcW w:type="dxa" w:w="1234"/>
          </w:tcPr>
          <w:p>
            <w:r>
              <w:rPr>
                <w:rFonts w:ascii="Calibri" w:hAnsi="Calibri"/>
                <w:sz w:val="22"/>
              </w:rPr>
              <w:t>May 1, 2026</w:t>
            </w:r>
          </w:p>
        </w:tc>
        <w:tc>
          <w:tcPr>
            <w:tcW w:type="dxa" w:w="1234"/>
          </w:tcPr>
          <w:p>
            <w:r>
              <w:rPr>
                <w:rFonts w:ascii="Calibri" w:hAnsi="Calibri"/>
                <w:sz w:val="22"/>
              </w:rPr>
              <w:t>Meisner Christian (SVP)</w:t>
            </w:r>
          </w:p>
        </w:tc>
        <w:tc>
          <w:tcPr>
            <w:tcW w:type="dxa" w:w="1234"/>
          </w:tcPr>
          <w:p>
            <w:r>
              <w:rPr>
                <w:rFonts w:ascii="Calibri" w:hAnsi="Calibri"/>
                <w:sz w:val="22"/>
              </w:rPr>
              <w:t>Senior VP</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2,255 vested; 1,046 withheld for taxes</w:t>
            </w:r>
          </w:p>
        </w:tc>
        <w:tc>
          <w:tcPr>
            <w:tcW w:type="dxa" w:w="1234"/>
          </w:tcPr>
          <w:p>
            <w:r>
              <w:rPr>
                <w:rFonts w:ascii="Calibri" w:hAnsi="Calibri"/>
                <w:sz w:val="22"/>
              </w:rPr>
              <w:t>Routine RSU vesting; no discretionary sale</w:t>
            </w:r>
          </w:p>
        </w:tc>
      </w:tr>
      <w:tr>
        <w:tc>
          <w:tcPr>
            <w:tcW w:type="dxa" w:w="1234"/>
          </w:tcPr>
          <w:p>
            <w:r>
              <w:rPr>
                <w:rFonts w:ascii="Calibri" w:hAnsi="Calibri"/>
                <w:sz w:val="22"/>
              </w:rPr>
              <w:t>May 1, 2026</w:t>
            </w:r>
          </w:p>
        </w:tc>
        <w:tc>
          <w:tcPr>
            <w:tcW w:type="dxa" w:w="1234"/>
          </w:tcPr>
          <w:p>
            <w:r>
              <w:rPr>
                <w:rFonts w:ascii="Calibri" w:hAnsi="Calibri"/>
                <w:sz w:val="22"/>
              </w:rPr>
              <w:t>Phillips John R. III (SVP)</w:t>
            </w:r>
          </w:p>
        </w:tc>
        <w:tc>
          <w:tcPr>
            <w:tcW w:type="dxa" w:w="1234"/>
          </w:tcPr>
          <w:p>
            <w:r>
              <w:rPr>
                <w:rFonts w:ascii="Calibri" w:hAnsi="Calibri"/>
                <w:sz w:val="22"/>
              </w:rPr>
              <w:t>Senior VP</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2,255 vested; 1,109 withheld for taxes</w:t>
            </w:r>
          </w:p>
        </w:tc>
        <w:tc>
          <w:tcPr>
            <w:tcW w:type="dxa" w:w="1234"/>
          </w:tcPr>
          <w:p>
            <w:r>
              <w:rPr>
                <w:rFonts w:ascii="Calibri" w:hAnsi="Calibri"/>
                <w:sz w:val="22"/>
              </w:rPr>
              <w:t>Routine RSU vesting; no discretionary sale</w:t>
            </w:r>
          </w:p>
        </w:tc>
      </w:tr>
      <w:tr>
        <w:tc>
          <w:tcPr>
            <w:tcW w:type="dxa" w:w="1234"/>
          </w:tcPr>
          <w:p>
            <w:r>
              <w:rPr>
                <w:rFonts w:ascii="Calibri" w:hAnsi="Calibri"/>
                <w:sz w:val="22"/>
              </w:rPr>
              <w:t>May 1, 2026</w:t>
            </w:r>
          </w:p>
        </w:tc>
        <w:tc>
          <w:tcPr>
            <w:tcW w:type="dxa" w:w="1234"/>
          </w:tcPr>
          <w:p>
            <w:r>
              <w:rPr>
                <w:rFonts w:ascii="Calibri" w:hAnsi="Calibri"/>
                <w:sz w:val="22"/>
              </w:rPr>
              <w:t>Procacci Riccardo (SVP)</w:t>
            </w:r>
          </w:p>
        </w:tc>
        <w:tc>
          <w:tcPr>
            <w:tcW w:type="dxa" w:w="1234"/>
          </w:tcPr>
          <w:p>
            <w:r>
              <w:rPr>
                <w:rFonts w:ascii="Calibri" w:hAnsi="Calibri"/>
                <w:sz w:val="22"/>
              </w:rPr>
              <w:t>Senior VP</w:t>
            </w:r>
          </w:p>
        </w:tc>
        <w:tc>
          <w:tcPr>
            <w:tcW w:type="dxa" w:w="1234"/>
          </w:tcPr>
          <w:p>
            <w:r>
              <w:rPr>
                <w:rFonts w:ascii="Calibri" w:hAnsi="Calibri"/>
                <w:sz w:val="22"/>
              </w:rPr>
              <w:t>RSU Vest (M) + Tax Withhold (F)</w:t>
            </w:r>
          </w:p>
        </w:tc>
        <w:tc>
          <w:tcPr>
            <w:tcW w:type="dxa" w:w="1234"/>
          </w:tcPr>
          <w:p>
            <w:r>
              <w:rPr>
                <w:rFonts w:ascii="Calibri" w:hAnsi="Calibri"/>
                <w:sz w:val="22"/>
              </w:rPr>
              <w:t>Common Stock / RSUs</w:t>
            </w:r>
          </w:p>
        </w:tc>
        <w:tc>
          <w:tcPr>
            <w:tcW w:type="dxa" w:w="1234"/>
          </w:tcPr>
          <w:p>
            <w:r>
              <w:rPr>
                <w:rFonts w:ascii="Calibri" w:hAnsi="Calibri"/>
                <w:sz w:val="22"/>
              </w:rPr>
              <w:t>966 vested; 416 withheld for taxes</w:t>
            </w:r>
          </w:p>
        </w:tc>
        <w:tc>
          <w:tcPr>
            <w:tcW w:type="dxa" w:w="1234"/>
          </w:tcPr>
          <w:p>
            <w:r>
              <w:rPr>
                <w:rFonts w:ascii="Calibri" w:hAnsi="Calibri"/>
                <w:sz w:val="22"/>
              </w:rPr>
              <w:t>Routine RSU vesting; no discretionary sale</w:t>
            </w:r>
          </w:p>
        </w:tc>
      </w:tr>
    </w:tbl>
    <w:p>
      <w:r>
        <w:rPr>
          <w:rFonts w:ascii="Calibri" w:hAnsi="Calibri"/>
          <w:i/>
          <w:color w:val="525866"/>
          <w:sz w:val="22"/>
        </w:rPr>
        <w:t>Source: SEC Form 4 filings (Insider Transaction Data).</w:t>
      </w:r>
    </w:p>
    <w:p>
      <w:r>
        <w:rPr>
          <w:rFonts w:ascii="Calibri" w:hAnsi="Calibri"/>
          <w:b/>
          <w:color w:val="525866"/>
          <w:sz w:val="22"/>
        </w:rPr>
        <w:t xml:space="preserve">Interpretation: </w:t>
      </w:r>
      <w:r>
        <w:rPr>
          <w:rFonts w:ascii="Calibri" w:hAnsi="Calibri"/>
          <w:color w:val="525866"/>
          <w:sz w:val="22"/>
        </w:rPr>
        <w:t xml:space="preserve">All insider transactions in the post-Q1 period are either (1) routine annual director stock grants (awarded as part of standard board compensation), (2) RSU vestings by senior executives (scheduled, non-discretionary), or (3) tax withholding sales associated with RSU vestings (mandatory, not a discretionary sell signal). There are </w:t>
      </w:r>
      <w:r>
        <w:rPr>
          <w:rFonts w:ascii="Calibri" w:hAnsi="Calibri"/>
          <w:b/>
          <w:color w:val="525866"/>
          <w:sz w:val="22"/>
        </w:rPr>
        <w:t>no open-market purchases or discretionary sales</w:t>
      </w:r>
      <w:r>
        <w:rPr>
          <w:rFonts w:ascii="Calibri" w:hAnsi="Calibri"/>
          <w:color w:val="525866"/>
          <w:sz w:val="22"/>
        </w:rPr>
        <w:t xml:space="preserve"> by any insider in this period. The absence of discretionary selling by executives (CFO Ghai, SVPs Ali, Gowder, Giglietti, Meisner, Phillips, Procacci) who hold significant share positions is a mild positive signal — none of the insiders with the most visibility into Q2 performance have chosen to sell ahead of earnings.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