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s-earnings-predictions--2026-07-14"/>
    <w:p>
      <w:pPr>
        <w:pStyle w:val="Heading1"/>
      </w:pPr>
      <w:r>
        <w:t xml:space="preserve">GS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~$15.25 vs. cons $14.15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~$5.2B vs. cons $4.9B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banking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~$2.95B vs. cons $2.75B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FICC trading revenue (in-quarter, key swing)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~$3.7B vs. cons $3.67B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IB backlog / M&amp;A + sponsor-monetization pipeline tone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backlog near 4-yr high implies ~</w:t>
            </w:r>
            <m:oMath>
              <m:r>
                <m:t>2.9</m:t>
              </m:r>
              <m:r>
                <m:t>B</m:t>
              </m:r>
              <m:r>
                <m:t>f</m:t>
              </m:r>
              <m:r>
                <m:t>e</m:t>
              </m:r>
              <m:r>
                <m:t>e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tax rate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 vs. cons ~20%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CET1 &amp; buyback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CET1 ~12.6% vs. 12.5% prior; buyback ~$4.5B vs. $5.0B Q1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GS likely beats comfortably on IB fees and equities financing with constructive pipeline tone, driving a modest day-1 pop (~+1.5% residual). But this is a super-crowded consensus long (long GS/short MS) that has already run ~20% YTD and sits only ~5% off an all-time high, so the whisper bar is above consensus and much of the good news is priced in. Over the following days the initial pop fades as: (1) crowded positioning takes profits, (2) FICC/rate softness and the ~20% tax-rate normalization temper out-period EPS revisions rather than lift them, and (3) same-morning June CPI plus JPM/Citi prints add an exogenous macro/rates overlay. Net 5-day residual gives back most of the day-1 gain to roughly flat-to-slightly-negative.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2026-07-14T01:17:20Z</dcterms:created>
  <dcterms:modified xsi:type="dcterms:W3CDTF">2026-07-14T01:17:20Z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