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s-earnings-predictions--2026-07-14"/>
    <w:p>
      <w:pPr>
        <w:pStyle w:val="Heading1"/>
      </w:pPr>
      <w:r>
        <w:t xml:space="preserve">GS Earnings Predictions — 2026-07-14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~$15.60 vs. cons $14.15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Investment Banking fees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~$3.05B vs. cons $2.75B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Equities trading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~$5.25B vs. cons $4.9B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IB backlog/pipeline commentary (implied H2 growth)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~record/4-yr-high backlog implying ~+15% YoY H2 IB fee growth vs. cons ~+8% YoY (H2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Comp ratio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~32% vs. cons ~33%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CET1 ratio / capital return pace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~12.6% vs. cons ~12.5% CET1, buybacks ~</w:t>
            </w:r>
            <m:oMath>
              <m:r>
                <m:t>5</m:t>
              </m:r>
              <m:r>
                <m:t>B</m:t>
              </m:r>
              <m:r>
                <m:rPr>
                  <m:sty m:val="p"/>
                </m:rPr>
                <m:t>/</m:t>
              </m:r>
              <m:r>
                <m:t>q</m:t>
              </m:r>
              <m:r>
                <m:t>t</m:t>
              </m:r>
              <m:r>
                <m:t>r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5B/qtr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-0.6% (FADE)</w:t>
            </w:r>
          </w:p>
        </w:tc>
        <w:tc>
          <w:tcPr/>
          <w:p>
            <w:pPr>
              <w:pStyle w:val="Compact"/>
            </w:pPr>
            <w:r>
              <w:t xml:space="preserve">Whisper numbers already sit above published consensus and the stock has run +20% YTD (touching ~</w:t>
            </w: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106</m:t>
              </m:r>
              <m:r>
                <m:t>b</m:t>
              </m:r>
              <m:r>
                <m:t>e</m:t>
              </m:r>
              <m:r>
                <m:t>f</m:t>
              </m:r>
              <m:r>
                <m:t>o</m:t>
              </m:r>
              <m:r>
                <m:t>r</m:t>
              </m:r>
              <m:r>
                <m:t>e</m:t>
              </m:r>
              <m:r>
                <m:t>p</m:t>
              </m:r>
              <m:r>
                <m:t>u</m:t>
              </m:r>
              <m:r>
                <m:t>l</m:t>
              </m:r>
              <m:r>
                <m:t>l</m:t>
              </m:r>
              <m:r>
                <m:t>i</m:t>
              </m:r>
              <m:r>
                <m:t>n</m:t>
              </m:r>
              <m:r>
                <m:t>g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1,046), so a solid headline beat driven largely by episodic trading/financing revenue (per Q1's playbook) is likely mostly priced in. Crowded long-GS/short-MS positioning (per UBS's Najarian) raises sell-the-news risk: even with a beat, analysts will likely flag reliance on non-recurring equities financing/prime brokerage strength, persistent NIM compression in private banking, and Oppenheimer's stretched-multiple thesis, capping upward EPS revisions for FY26/27 out-quarters. Absent a decisive upside surprise in IB backlog conversion (sponsor/IPO reacceleration), initial day-1 pop likely fades over the week as valuation-focused sellers take profits into a still-elevated multiple.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2026-07-14T01:21:52Z</dcterms:created>
  <dcterms:modified xsi:type="dcterms:W3CDTF">2026-07-14T01:21:52Z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