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goldman-sachs-gs-2q26-earnings-preview"/>
    <w:p>
      <w:pPr>
        <w:pStyle w:val="Heading1"/>
      </w:pPr>
      <w:r>
        <w:t xml:space="preserve">Goldman Sachs (GS) 2Q26 Earnings Preview</w:t>
      </w:r>
    </w:p>
    <w:p>
      <w:pPr>
        <w:pStyle w:val="FirstParagraph"/>
      </w:pPr>
      <w:r>
        <w:rPr>
          <w:b/>
          <w:bCs/>
        </w:rPr>
        <w:t xml:space="preserve">Report date:</w:t>
      </w:r>
      <w:r>
        <w:t xml:space="preserve"> </w:t>
      </w:r>
      <w:r>
        <w:t xml:space="preserve">July 14, 2026, before the U.S. market open</w:t>
      </w:r>
      <w:r>
        <w:br/>
      </w:r>
      <w:r>
        <w:rPr>
          <w:b/>
          <w:bCs/>
        </w:rPr>
        <w:t xml:space="preserve">Event:</w:t>
      </w:r>
      <w:r>
        <w:t xml:space="preserve"> </w:t>
      </w:r>
      <w:r>
        <w:t xml:space="preserve">2026Q2 earnings call</w:t>
      </w:r>
      <w:r>
        <w:br/>
      </w:r>
      <w:r>
        <w:rPr>
          <w:b/>
          <w:bCs/>
        </w:rPr>
        <w:t xml:space="preserve">Closing share price on July 13:</w:t>
      </w:r>
      <w:r>
        <w:t xml:space="preserve"> </w:t>
      </w:r>
      <w:r>
        <w:t xml:space="preserve">$1,045.95</w:t>
      </w:r>
    </w:p>
    <w:bookmarkStart w:id="9" w:name="executive-view"/>
    <w:p>
      <w:pPr>
        <w:pStyle w:val="Heading2"/>
      </w:pPr>
      <w:r>
        <w:t xml:space="preserve">Executive view</w:t>
      </w:r>
    </w:p>
    <w:p>
      <w:pPr>
        <w:pStyle w:val="FirstParagraph"/>
      </w:pPr>
      <w:r>
        <w:t xml:space="preserve">Goldman enters the report with</w:t>
      </w:r>
      <w:r>
        <w:t xml:space="preserve"> </w:t>
      </w:r>
      <w:r>
        <w:rPr>
          <w:b/>
          <w:bCs/>
        </w:rPr>
        <w:t xml:space="preserve">strong operating momentum but an unusually demanding setup</w:t>
      </w:r>
      <w:r>
        <w:t xml:space="preserve">. The firm produced near-record results in the first quarter, its investment-banking backlog remains robust, trading conditions have generally been favorable, and Asset &amp; Wealth Management continues to attract substantial client assets.</w:t>
      </w:r>
    </w:p>
    <w:p>
      <w:pPr>
        <w:pStyle w:val="BodyText"/>
      </w:pPr>
      <w:r>
        <w:t xml:space="preserve">The problem is that investors already expect much of this strength. GS shares have risen approximately</w:t>
      </w:r>
      <w:r>
        <w:t xml:space="preserve"> </w:t>
      </w:r>
      <w:r>
        <w:rPr>
          <w:b/>
          <w:bCs/>
        </w:rPr>
        <w:t xml:space="preserve">19% year to date</w:t>
      </w:r>
      <w:r>
        <w:t xml:space="preserve"> </w:t>
      </w:r>
      <w:r>
        <w:t xml:space="preserve">and about</w:t>
      </w:r>
      <w:r>
        <w:t xml:space="preserve"> </w:t>
      </w:r>
      <w:r>
        <w:rPr>
          <w:b/>
          <w:bCs/>
        </w:rPr>
        <w:t xml:space="preserve">17% since the first-quarter report</w:t>
      </w:r>
      <w:r>
        <w:t xml:space="preserve">. At the July 13 close, the stock traded at roughly</w:t>
      </w:r>
      <w:r>
        <w:t xml:space="preserve"> </w:t>
      </w:r>
      <w:r>
        <w:rPr>
          <w:b/>
          <w:bCs/>
        </w:rPr>
        <w:t xml:space="preserve">2.9 times first-quarter book value and 3.1 times tangible book value</w:t>
      </w:r>
      <w:r>
        <w:t xml:space="preserve">. Buy-side expectations also appear to be above published consensus.</w:t>
      </w:r>
    </w:p>
    <w:p>
      <w:pPr>
        <w:pStyle w:val="BodyText"/>
      </w:pPr>
      <w:r>
        <w:t xml:space="preserve">The key question is therefore not simply whether Goldman beats estimates. It is whether the results and management commentary support the market’s assumptions of:</w:t>
      </w:r>
    </w:p>
    <w:p>
      <w:pPr>
        <w:pStyle w:val="Compact"/>
        <w:numPr>
          <w:ilvl w:val="0"/>
          <w:numId w:val="1001"/>
        </w:numPr>
      </w:pPr>
      <w:r>
        <w:t xml:space="preserve">Sustained, elevated trading revenue;</w:t>
      </w:r>
    </w:p>
    <w:p>
      <w:pPr>
        <w:pStyle w:val="Compact"/>
        <w:numPr>
          <w:ilvl w:val="0"/>
          <w:numId w:val="1001"/>
        </w:numPr>
      </w:pPr>
      <w:r>
        <w:t xml:space="preserve">Continued conversion of the investment-banking backlog;</w:t>
      </w:r>
    </w:p>
    <w:p>
      <w:pPr>
        <w:pStyle w:val="Compact"/>
        <w:numPr>
          <w:ilvl w:val="0"/>
          <w:numId w:val="1001"/>
        </w:numPr>
      </w:pPr>
      <w:r>
        <w:t xml:space="preserve">Attractive returns on the firm’s recent balance-sheet expansion;</w:t>
      </w:r>
    </w:p>
    <w:p>
      <w:pPr>
        <w:pStyle w:val="Compact"/>
        <w:numPr>
          <w:ilvl w:val="0"/>
          <w:numId w:val="1001"/>
        </w:numPr>
      </w:pPr>
      <w:r>
        <w:t xml:space="preserve">Improving profitability in Asset &amp; Wealth Management; and</w:t>
      </w:r>
    </w:p>
    <w:p>
      <w:pPr>
        <w:pStyle w:val="Compact"/>
        <w:numPr>
          <w:ilvl w:val="0"/>
          <w:numId w:val="1001"/>
        </w:numPr>
      </w:pPr>
      <w:r>
        <w:t xml:space="preserve">Capital returns that remain strong despite greater capital deployment.</w:t>
      </w:r>
    </w:p>
    <w:p>
      <w:pPr>
        <w:pStyle w:val="FirstParagraph"/>
      </w:pPr>
      <w:r>
        <w:rPr>
          <w:b/>
          <w:bCs/>
        </w:rPr>
        <w:t xml:space="preserve">Bottom line:</w:t>
      </w:r>
      <w:r>
        <w:t xml:space="preserve"> </w:t>
      </w:r>
      <w:r>
        <w:t xml:space="preserve">Fundamentals look constructive, but the stock probably needs a meaningful beat and an encouraging outlook to react well.</w:t>
      </w:r>
    </w:p>
    <w:p>
      <w:r>
        <w:pict>
          <v:rect style="width:0;height:1.5pt" o:hralign="center" o:hrstd="t" o:hr="t"/>
        </w:pict>
      </w:r>
    </w:p>
    <w:bookmarkEnd w:id="9"/>
    <w:bookmarkStart w:id="10" w:name="consensus-snapshot"/>
    <w:p>
      <w:pPr>
        <w:pStyle w:val="Heading2"/>
      </w:pPr>
      <w:r>
        <w:t xml:space="preserve">Consensus snapshot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2Q26 consensus</w:t>
            </w:r>
          </w:p>
        </w:tc>
        <w:tc>
          <w:tcPr/>
          <w:p>
            <w:pPr>
              <w:pStyle w:val="Compact"/>
              <w:jc w:val="right"/>
            </w:pPr>
            <w:r>
              <w:t xml:space="preserve">2Q25 actual</w:t>
            </w:r>
          </w:p>
        </w:tc>
        <w:tc>
          <w:tcPr/>
          <w:p>
            <w:pPr>
              <w:pStyle w:val="Compact"/>
              <w:jc w:val="right"/>
            </w:pPr>
            <w:r>
              <w:t xml:space="preserve">YoY change</w:t>
            </w:r>
          </w:p>
        </w:tc>
        <w:tc>
          <w:tcPr/>
          <w:p>
            <w:pPr>
              <w:pStyle w:val="Compact"/>
              <w:jc w:val="right"/>
            </w:pPr>
            <w:r>
              <w:t xml:space="preserve">1Q26 actual</w:t>
            </w:r>
          </w:p>
        </w:tc>
      </w:tr>
      <w:tr>
        <w:tc>
          <w:tcPr/>
          <w:p>
            <w:pPr>
              <w:pStyle w:val="Compact"/>
            </w:pPr>
            <w:r>
              <w:t xml:space="preserve">Net revenue</w:t>
            </w:r>
          </w:p>
        </w:tc>
        <w:tc>
          <w:tcPr/>
          <w:p>
            <w:pPr>
              <w:pStyle w:val="Compact"/>
              <w:jc w:val="right"/>
            </w:pPr>
            <w:r>
              <w:rPr>
                <w:b/>
                <w:bCs/>
              </w:rPr>
              <w:t xml:space="preserve">$16.04B</w:t>
            </w:r>
          </w:p>
        </w:tc>
        <w:tc>
          <w:tcPr/>
          <w:p>
            <w:pPr>
              <w:pStyle w:val="Compact"/>
              <w:jc w:val="right"/>
            </w:pPr>
            <w:r>
              <w:t xml:space="preserve">$14.58B</w:t>
            </w:r>
          </w:p>
        </w:tc>
        <w:tc>
          <w:tcPr/>
          <w:p>
            <w:pPr>
              <w:pStyle w:val="Compact"/>
              <w:jc w:val="right"/>
            </w:pPr>
            <w:r>
              <w:rPr>
                <w:b/>
                <w:bCs/>
              </w:rPr>
              <w:t xml:space="preserve">+10%</w:t>
            </w:r>
          </w:p>
        </w:tc>
        <w:tc>
          <w:tcPr/>
          <w:p>
            <w:pPr>
              <w:pStyle w:val="Compact"/>
              <w:jc w:val="right"/>
            </w:pPr>
            <w:r>
              <w:t xml:space="preserve">$17.23B</w:t>
            </w:r>
          </w:p>
        </w:tc>
      </w:tr>
      <w:tr>
        <w:tc>
          <w:tcPr/>
          <w:p>
            <w:pPr>
              <w:pStyle w:val="Compact"/>
            </w:pPr>
            <w:r>
              <w:t xml:space="preserve">Diluted EPS</w:t>
            </w:r>
          </w:p>
        </w:tc>
        <w:tc>
          <w:tcPr/>
          <w:p>
            <w:pPr>
              <w:pStyle w:val="Compact"/>
              <w:jc w:val="right"/>
            </w:pPr>
            <w:r>
              <w:rPr>
                <w:b/>
                <w:bCs/>
              </w:rPr>
              <w:t xml:space="preserve">$14.15</w:t>
            </w:r>
          </w:p>
        </w:tc>
        <w:tc>
          <w:tcPr/>
          <w:p>
            <w:pPr>
              <w:pStyle w:val="Compact"/>
              <w:jc w:val="right"/>
            </w:pPr>
            <w:r>
              <w:t xml:space="preserve">$10.91</w:t>
            </w:r>
          </w:p>
        </w:tc>
        <w:tc>
          <w:tcPr/>
          <w:p>
            <w:pPr>
              <w:pStyle w:val="Compact"/>
              <w:jc w:val="right"/>
            </w:pPr>
            <w:r>
              <w:rPr>
                <w:b/>
                <w:bCs/>
              </w:rPr>
              <w:t xml:space="preserve">+30%</w:t>
            </w:r>
          </w:p>
        </w:tc>
        <w:tc>
          <w:tcPr/>
          <w:p>
            <w:pPr>
              <w:pStyle w:val="Compact"/>
              <w:jc w:val="right"/>
            </w:pPr>
            <w:r>
              <w:t xml:space="preserve">$17.55</w:t>
            </w:r>
          </w:p>
        </w:tc>
      </w:tr>
      <w:tr>
        <w:tc>
          <w:tcPr/>
          <w:p>
            <w:pPr>
              <w:pStyle w:val="Compact"/>
            </w:pPr>
            <w:r>
              <w:t xml:space="preserve">Investment-banking fees</w:t>
            </w:r>
          </w:p>
        </w:tc>
        <w:tc>
          <w:tcPr/>
          <w:p>
            <w:pPr>
              <w:pStyle w:val="Compact"/>
              <w:jc w:val="right"/>
            </w:pPr>
            <w:r>
              <w:rPr>
                <w:b/>
                <w:bCs/>
              </w:rPr>
              <w:t xml:space="preserve">$2.75B</w:t>
            </w:r>
          </w:p>
        </w:tc>
        <w:tc>
          <w:tcPr/>
          <w:p>
            <w:pPr>
              <w:pStyle w:val="Compact"/>
              <w:jc w:val="right"/>
            </w:pPr>
            <w:r>
              <w:t xml:space="preserve">$2.19B</w:t>
            </w:r>
          </w:p>
        </w:tc>
        <w:tc>
          <w:tcPr/>
          <w:p>
            <w:pPr>
              <w:pStyle w:val="Compact"/>
              <w:jc w:val="right"/>
            </w:pPr>
            <w:r>
              <w:rPr>
                <w:b/>
                <w:bCs/>
              </w:rPr>
              <w:t xml:space="preserve">+26%</w:t>
            </w:r>
          </w:p>
        </w:tc>
        <w:tc>
          <w:tcPr/>
          <w:p>
            <w:pPr>
              <w:pStyle w:val="Compact"/>
              <w:jc w:val="right"/>
            </w:pPr>
            <w:r>
              <w:t xml:space="preserve">$2.84B</w:t>
            </w:r>
          </w:p>
        </w:tc>
      </w:tr>
      <w:tr>
        <w:tc>
          <w:tcPr/>
          <w:p>
            <w:pPr>
              <w:pStyle w:val="Compact"/>
            </w:pPr>
            <w:r>
              <w:t xml:space="preserve">Equities revenue</w:t>
            </w:r>
          </w:p>
        </w:tc>
        <w:tc>
          <w:tcPr/>
          <w:p>
            <w:pPr>
              <w:pStyle w:val="Compact"/>
              <w:jc w:val="right"/>
            </w:pPr>
            <w:r>
              <w:rPr>
                <w:b/>
                <w:bCs/>
              </w:rPr>
              <w:t xml:space="preserve">$4.90B</w:t>
            </w:r>
          </w:p>
        </w:tc>
        <w:tc>
          <w:tcPr/>
          <w:p>
            <w:pPr>
              <w:pStyle w:val="Compact"/>
              <w:jc w:val="right"/>
            </w:pPr>
            <w:r>
              <w:t xml:space="preserve">$4.30B</w:t>
            </w:r>
          </w:p>
        </w:tc>
        <w:tc>
          <w:tcPr/>
          <w:p>
            <w:pPr>
              <w:pStyle w:val="Compact"/>
              <w:jc w:val="right"/>
            </w:pPr>
            <w:r>
              <w:rPr>
                <w:b/>
                <w:bCs/>
              </w:rPr>
              <w:t xml:space="preserve">+14%</w:t>
            </w:r>
          </w:p>
        </w:tc>
        <w:tc>
          <w:tcPr/>
          <w:p>
            <w:pPr>
              <w:pStyle w:val="Compact"/>
              <w:jc w:val="right"/>
            </w:pPr>
            <w:r>
              <w:t xml:space="preserve">$5.33B</w:t>
            </w:r>
          </w:p>
        </w:tc>
      </w:tr>
      <w:tr>
        <w:tc>
          <w:tcPr/>
          <w:p>
            <w:pPr>
              <w:pStyle w:val="Compact"/>
            </w:pPr>
            <w:r>
              <w:t xml:space="preserve">FICC revenue</w:t>
            </w:r>
          </w:p>
        </w:tc>
        <w:tc>
          <w:tcPr/>
          <w:p>
            <w:pPr>
              <w:pStyle w:val="Compact"/>
              <w:jc w:val="right"/>
            </w:pPr>
            <w:r>
              <w:rPr>
                <w:b/>
                <w:bCs/>
              </w:rPr>
              <w:t xml:space="preserve">$3.67B</w:t>
            </w:r>
          </w:p>
        </w:tc>
        <w:tc>
          <w:tcPr/>
          <w:p>
            <w:pPr>
              <w:pStyle w:val="Compact"/>
              <w:jc w:val="right"/>
            </w:pPr>
            <w:r>
              <w:t xml:space="preserve">$3.47B</w:t>
            </w:r>
          </w:p>
        </w:tc>
        <w:tc>
          <w:tcPr/>
          <w:p>
            <w:pPr>
              <w:pStyle w:val="Compact"/>
              <w:jc w:val="right"/>
            </w:pPr>
            <w:r>
              <w:rPr>
                <w:b/>
                <w:bCs/>
              </w:rPr>
              <w:t xml:space="preserve">+6%</w:t>
            </w:r>
          </w:p>
        </w:tc>
        <w:tc>
          <w:tcPr/>
          <w:p>
            <w:pPr>
              <w:pStyle w:val="Compact"/>
              <w:jc w:val="right"/>
            </w:pPr>
            <w:r>
              <w:t xml:space="preserve">$4.01B</w:t>
            </w:r>
          </w:p>
        </w:tc>
      </w:tr>
    </w:tbl>
    <w:p>
      <w:pPr>
        <w:pStyle w:val="BodyText"/>
      </w:pPr>
      <w:r>
        <w:t xml:space="preserve">The sequential decline implied by consensus is not inherently negative: the first quarter included record Global Banking &amp; Markets revenue and a particularly strong Equities result.</w:t>
      </w:r>
    </w:p>
    <w:p>
      <w:pPr>
        <w:pStyle w:val="BodyText"/>
      </w:pPr>
      <w:r>
        <w:t xml:space="preserve">The EPS comparison with 1Q26 is also distorted by taxes. First-quarter EPS benefited by</w:t>
      </w:r>
      <w:r>
        <w:t xml:space="preserve"> </w:t>
      </w:r>
      <w:r>
        <w:rPr>
          <w:b/>
          <w:bCs/>
        </w:rPr>
        <w:t xml:space="preserve">$2.91 per share</w:t>
      </w:r>
      <w:r>
        <w:t xml:space="preserve"> </w:t>
      </w:r>
      <w:r>
        <w:t xml:space="preserve">from employee stock-based compensation tax benefits, while management expects an approximately</w:t>
      </w:r>
      <w:r>
        <w:t xml:space="preserve"> </w:t>
      </w:r>
      <w:r>
        <w:rPr>
          <w:b/>
          <w:bCs/>
        </w:rPr>
        <w:t xml:space="preserve">20% full-year tax rate</w:t>
      </w:r>
      <w:r>
        <w:t xml:space="preserve">. Excluding that benefit, first-quarter EPS was approximately $14.64, making the second-quarter consensus closer to flat on an underlying basis.</w:t>
      </w:r>
    </w:p>
    <w:p>
      <w:r>
        <w:pict>
          <v:rect style="width:0;height:1.5pt" o:hralign="center" o:hrstd="t" o:hr="t"/>
        </w:pict>
      </w:r>
    </w:p>
    <w:bookmarkEnd w:id="10"/>
    <w:bookmarkStart w:id="18" w:name="the-major-issues"/>
    <w:p>
      <w:pPr>
        <w:pStyle w:val="Heading2"/>
      </w:pPr>
      <w:r>
        <w:t xml:space="preserve">The major issues</w:t>
      </w:r>
    </w:p>
    <w:bookmarkStart w:id="11" w:name="X9ddf213cedd34a63cd2b077c18407931a2af56c"/>
    <w:p>
      <w:pPr>
        <w:pStyle w:val="Heading3"/>
      </w:pPr>
      <w:r>
        <w:t xml:space="preserve">1. Equities is the most important earnings swing factor</w:t>
      </w:r>
    </w:p>
    <w:p>
      <w:pPr>
        <w:pStyle w:val="FirstParagraph"/>
      </w:pPr>
      <w:r>
        <w:t xml:space="preserve">Equities generated a record</w:t>
      </w:r>
      <w:r>
        <w:t xml:space="preserve"> </w:t>
      </w:r>
      <w:r>
        <w:rPr>
          <w:b/>
          <w:bCs/>
        </w:rPr>
        <w:t xml:space="preserve">$5.33 billion</w:t>
      </w:r>
      <w:r>
        <w:t xml:space="preserve"> </w:t>
      </w:r>
      <w:r>
        <w:t xml:space="preserve">in the first quarter, including:</w:t>
      </w:r>
    </w:p>
    <w:p>
      <w:pPr>
        <w:pStyle w:val="Compact"/>
        <w:numPr>
          <w:ilvl w:val="0"/>
          <w:numId w:val="1002"/>
        </w:numPr>
      </w:pPr>
      <w:r>
        <w:t xml:space="preserve">$2.72 billion of intermediation revenue;</w:t>
      </w:r>
    </w:p>
    <w:p>
      <w:pPr>
        <w:pStyle w:val="Compact"/>
        <w:numPr>
          <w:ilvl w:val="0"/>
          <w:numId w:val="1002"/>
        </w:numPr>
      </w:pPr>
      <w:r>
        <w:t xml:space="preserve">$2.61 billion of financing revenue; and</w:t>
      </w:r>
    </w:p>
    <w:p>
      <w:pPr>
        <w:pStyle w:val="Compact"/>
        <w:numPr>
          <w:ilvl w:val="0"/>
          <w:numId w:val="1002"/>
        </w:numPr>
      </w:pPr>
      <w:r>
        <w:t xml:space="preserve">59% year-over-year growth in Equities financing.</w:t>
      </w:r>
    </w:p>
    <w:p>
      <w:pPr>
        <w:pStyle w:val="FirstParagraph"/>
      </w:pPr>
      <w:r>
        <w:t xml:space="preserve">The strength was driven by cash products, record prime balances and a deliberate expansion in Asia. Management said it had identified a competitive gap in the region and deployed additional capital to close it.</w:t>
      </w:r>
    </w:p>
    <w:p>
      <w:pPr>
        <w:pStyle w:val="BodyText"/>
      </w:pPr>
      <w:r>
        <w:t xml:space="preserve">Consensus calls for $4.90 billion in 2Q, down about 8% sequentially but still 14% above the prior-year quarter. That looks achievable given the larger financing balance sheet and ongoing client activity, but expectations are already high.</w:t>
      </w:r>
    </w:p>
    <w:p>
      <w:pPr>
        <w:pStyle w:val="BodyText"/>
      </w:pPr>
      <w:r>
        <w:t xml:space="preserve">Investors should focus on:</w:t>
      </w:r>
    </w:p>
    <w:p>
      <w:pPr>
        <w:pStyle w:val="Compact"/>
        <w:numPr>
          <w:ilvl w:val="0"/>
          <w:numId w:val="1003"/>
        </w:numPr>
      </w:pPr>
      <w:r>
        <w:t xml:space="preserve">Whether prime balances remained near record levels;</w:t>
      </w:r>
    </w:p>
    <w:p>
      <w:pPr>
        <w:pStyle w:val="Compact"/>
        <w:numPr>
          <w:ilvl w:val="0"/>
          <w:numId w:val="1003"/>
        </w:numPr>
      </w:pPr>
      <w:r>
        <w:t xml:space="preserve">How much of the first-quarter financing increase proved durable;</w:t>
      </w:r>
    </w:p>
    <w:p>
      <w:pPr>
        <w:pStyle w:val="Compact"/>
        <w:numPr>
          <w:ilvl w:val="0"/>
          <w:numId w:val="1003"/>
        </w:numPr>
      </w:pPr>
      <w:r>
        <w:t xml:space="preserve">Continued progress in Asia;</w:t>
      </w:r>
    </w:p>
    <w:p>
      <w:pPr>
        <w:pStyle w:val="Compact"/>
        <w:numPr>
          <w:ilvl w:val="0"/>
          <w:numId w:val="1003"/>
        </w:numPr>
      </w:pPr>
      <w:r>
        <w:t xml:space="preserve">Returns on the capital deployed into prime and portfolio financing; and</w:t>
      </w:r>
    </w:p>
    <w:p>
      <w:pPr>
        <w:pStyle w:val="Compact"/>
        <w:numPr>
          <w:ilvl w:val="0"/>
          <w:numId w:val="1003"/>
        </w:numPr>
      </w:pPr>
      <w:r>
        <w:t xml:space="preserve">Whether management believes current revenue levels represent a new baseline or an unusually favorable period.</w:t>
      </w:r>
    </w:p>
    <w:p>
      <w:pPr>
        <w:pStyle w:val="FirstParagraph"/>
      </w:pPr>
      <w:r>
        <w:t xml:space="preserve">A large Equities beat would provide the cleanest path to upside. A result merely matching consensus may not be enough given the stock’s valuation and positioning.</w:t>
      </w:r>
    </w:p>
    <w:bookmarkEnd w:id="11"/>
    <w:bookmarkStart w:id="12" w:name="Xbf4542167e381fbdd1250e777fee1c6580046de"/>
    <w:p>
      <w:pPr>
        <w:pStyle w:val="Heading3"/>
      </w:pPr>
      <w:r>
        <w:t xml:space="preserve">2. FICC should benefit from volatility—but mix matters</w:t>
      </w:r>
    </w:p>
    <w:p>
      <w:pPr>
        <w:pStyle w:val="FirstParagraph"/>
      </w:pPr>
      <w:r>
        <w:t xml:space="preserve">First-quarter FICC revenue was $4.01 billion. Commodities and currencies were strong, while rates and mortgages were weaker due to a more challenging market-making environment.</w:t>
      </w:r>
    </w:p>
    <w:p>
      <w:pPr>
        <w:pStyle w:val="BodyText"/>
      </w:pPr>
      <w:r>
        <w:t xml:space="preserve">Consensus expects</w:t>
      </w:r>
      <w:r>
        <w:t xml:space="preserve"> </w:t>
      </w:r>
      <w:r>
        <w:rPr>
          <w:b/>
          <w:bCs/>
        </w:rPr>
        <w:t xml:space="preserve">$3.67 billion</w:t>
      </w:r>
      <w:r>
        <w:t xml:space="preserve"> </w:t>
      </w:r>
      <w:r>
        <w:t xml:space="preserve">in the second quarter, approximately 6% above last year but 9% below 1Q. The quarter included meaningful volatility in energy, rates and currencies, which should have supported client activity. Goldman’s diversified FICC franchise and growing financing business provide some protection when individual trading categories are weak.</w:t>
      </w:r>
    </w:p>
    <w:p>
      <w:pPr>
        <w:pStyle w:val="BodyText"/>
      </w:pPr>
      <w:r>
        <w:t xml:space="preserve">Important details will include:</w:t>
      </w:r>
    </w:p>
    <w:p>
      <w:pPr>
        <w:pStyle w:val="Compact"/>
        <w:numPr>
          <w:ilvl w:val="0"/>
          <w:numId w:val="1004"/>
        </w:numPr>
      </w:pPr>
      <w:r>
        <w:t xml:space="preserve">Whether rates recovered from the first-quarter weakness;</w:t>
      </w:r>
    </w:p>
    <w:p>
      <w:pPr>
        <w:pStyle w:val="Compact"/>
        <w:numPr>
          <w:ilvl w:val="0"/>
          <w:numId w:val="1004"/>
        </w:numPr>
      </w:pPr>
      <w:r>
        <w:t xml:space="preserve">Continued strength in commodities and currencies;</w:t>
      </w:r>
    </w:p>
    <w:p>
      <w:pPr>
        <w:pStyle w:val="Compact"/>
        <w:numPr>
          <w:ilvl w:val="0"/>
          <w:numId w:val="1004"/>
        </w:numPr>
      </w:pPr>
      <w:r>
        <w:t xml:space="preserve">FICC financing growth and credit quality;</w:t>
      </w:r>
    </w:p>
    <w:p>
      <w:pPr>
        <w:pStyle w:val="Compact"/>
        <w:numPr>
          <w:ilvl w:val="0"/>
          <w:numId w:val="1004"/>
        </w:numPr>
      </w:pPr>
      <w:r>
        <w:t xml:space="preserve">The effect of interest-rate and energy volatility on inventory results; and</w:t>
      </w:r>
    </w:p>
    <w:p>
      <w:pPr>
        <w:pStyle w:val="Compact"/>
        <w:numPr>
          <w:ilvl w:val="0"/>
          <w:numId w:val="1004"/>
        </w:numPr>
      </w:pPr>
      <w:r>
        <w:t xml:space="preserve">Management’s early read on third-quarter client activity.</w:t>
      </w:r>
    </w:p>
    <w:p>
      <w:pPr>
        <w:pStyle w:val="FirstParagraph"/>
      </w:pPr>
      <w:r>
        <w:t xml:space="preserve">The renewed U.S.-Iran escalation from</w:t>
      </w:r>
      <w:r>
        <w:t xml:space="preserve"> </w:t>
      </w:r>
      <w:r>
        <w:rPr>
          <w:b/>
          <w:bCs/>
        </w:rPr>
        <w:t xml:space="preserve">July 7 through July 13</w:t>
      </w:r>
      <w:r>
        <w:t xml:space="preserve"> </w:t>
      </w:r>
      <w:r>
        <w:t xml:space="preserve">occurred after the June 30 quarter-end. It therefore will not affect reported second-quarter revenue, but it could materially influence management’s outlook for commodities, inflation, rates and client positioning.</w:t>
      </w:r>
    </w:p>
    <w:bookmarkEnd w:id="12"/>
    <w:bookmarkStart w:id="13" w:name="X5d23214ae1e1bef55ecd361630e506693834489"/>
    <w:p>
      <w:pPr>
        <w:pStyle w:val="Heading3"/>
      </w:pPr>
      <w:r>
        <w:t xml:space="preserve">3. Investment banking needs to validate the backlog story</w:t>
      </w:r>
    </w:p>
    <w:p>
      <w:pPr>
        <w:pStyle w:val="FirstParagraph"/>
      </w:pPr>
      <w:r>
        <w:t xml:space="preserve">Goldman’s investment-banking fees rose 48% year over year in the first quarter to $2.84 billion, led by an 89% increase in advisory revenue. Management described the backlog as extraordinarily robust and said strong quarterly revenue recognition had been offset by substantial new additions.</w:t>
      </w:r>
    </w:p>
    <w:p>
      <w:pPr>
        <w:pStyle w:val="BodyText"/>
      </w:pPr>
      <w:r>
        <w:t xml:space="preserve">Consensus expects $2.75 billion in 2Q, up 26% year over year but modestly below the first quarter.</w:t>
      </w:r>
    </w:p>
    <w:p>
      <w:pPr>
        <w:pStyle w:val="BodyText"/>
      </w:pPr>
      <w:r>
        <w:t xml:space="preserve">The mix is likely to matter more than the headline:</w:t>
      </w:r>
    </w:p>
    <w:p>
      <w:pPr>
        <w:pStyle w:val="Compact"/>
        <w:numPr>
          <w:ilvl w:val="0"/>
          <w:numId w:val="1005"/>
        </w:numPr>
      </w:pPr>
      <w:r>
        <w:rPr>
          <w:b/>
          <w:bCs/>
        </w:rPr>
        <w:t xml:space="preserve">Advisory:</w:t>
      </w:r>
      <w:r>
        <w:t xml:space="preserve"> </w:t>
      </w:r>
      <w:r>
        <w:t xml:space="preserve">Goldman remains the leading global M&amp;A adviser, and large strategic transactions have been active.</w:t>
      </w:r>
    </w:p>
    <w:p>
      <w:pPr>
        <w:pStyle w:val="Compact"/>
        <w:numPr>
          <w:ilvl w:val="0"/>
          <w:numId w:val="1005"/>
        </w:numPr>
      </w:pPr>
      <w:r>
        <w:rPr>
          <w:b/>
          <w:bCs/>
        </w:rPr>
        <w:t xml:space="preserve">Equity underwriting:</w:t>
      </w:r>
      <w:r>
        <w:t xml:space="preserve"> </w:t>
      </w:r>
      <w:r>
        <w:t xml:space="preserve">IPO activity has been uneven, although management previously highlighted a full pipeline.</w:t>
      </w:r>
    </w:p>
    <w:p>
      <w:pPr>
        <w:pStyle w:val="Compact"/>
        <w:numPr>
          <w:ilvl w:val="0"/>
          <w:numId w:val="1005"/>
        </w:numPr>
      </w:pPr>
      <w:r>
        <w:rPr>
          <w:b/>
          <w:bCs/>
        </w:rPr>
        <w:t xml:space="preserve">Debt underwriting:</w:t>
      </w:r>
      <w:r>
        <w:t xml:space="preserve"> </w:t>
      </w:r>
      <w:r>
        <w:t xml:space="preserve">Acquisition financing and investment-grade issuance should help, while leveraged finance may be more sensitive to market conditions.</w:t>
      </w:r>
    </w:p>
    <w:p>
      <w:pPr>
        <w:pStyle w:val="Compact"/>
        <w:numPr>
          <w:ilvl w:val="0"/>
          <w:numId w:val="1005"/>
        </w:numPr>
      </w:pPr>
      <w:r>
        <w:rPr>
          <w:b/>
          <w:bCs/>
        </w:rPr>
        <w:t xml:space="preserve">Sponsor activity:</w:t>
      </w:r>
      <w:r>
        <w:t xml:space="preserve"> </w:t>
      </w:r>
      <w:r>
        <w:t xml:space="preserve">Private-equity exits remain below their potential. Management continues to view a recovery as delayed rather than permanently impaired.</w:t>
      </w:r>
    </w:p>
    <w:p>
      <w:pPr>
        <w:pStyle w:val="FirstParagraph"/>
      </w:pPr>
      <w:r>
        <w:t xml:space="preserve">Investors will want evidence that the pipeline continues to replenish as revenue is recognized. A strong reported quarter accompanied by a lower backlog or more cautious pipeline commentary could be viewed negatively.</w:t>
      </w:r>
    </w:p>
    <w:bookmarkEnd w:id="13"/>
    <w:bookmarkStart w:id="14" w:name="X9db19a73f7b6f75a343c2beb5694a4a46edf81b"/>
    <w:p>
      <w:pPr>
        <w:pStyle w:val="Heading3"/>
      </w:pPr>
      <w:r>
        <w:t xml:space="preserve">4. Balance-sheet growth must now translate into durable returns</w:t>
      </w:r>
    </w:p>
    <w:p>
      <w:pPr>
        <w:pStyle w:val="FirstParagraph"/>
      </w:pPr>
      <w:r>
        <w:t xml:space="preserve">One of the most significant developments in 1Q was Goldman’s aggressive deployment of capital:</w:t>
      </w:r>
    </w:p>
    <w:p>
      <w:pPr>
        <w:pStyle w:val="Compact"/>
        <w:numPr>
          <w:ilvl w:val="0"/>
          <w:numId w:val="1006"/>
        </w:numPr>
      </w:pPr>
      <w:r>
        <w:t xml:space="preserve">Total assets increased by approximately</w:t>
      </w:r>
      <w:r>
        <w:t xml:space="preserve"> </w:t>
      </w:r>
      <w:r>
        <w:rPr>
          <w:b/>
          <w:bCs/>
        </w:rPr>
        <w:t xml:space="preserve">$251 billion</w:t>
      </w:r>
      <w:r>
        <w:t xml:space="preserve"> </w:t>
      </w:r>
      <w:r>
        <w:t xml:space="preserve">during the quarter;</w:t>
      </w:r>
    </w:p>
    <w:p>
      <w:pPr>
        <w:pStyle w:val="Compact"/>
        <w:numPr>
          <w:ilvl w:val="0"/>
          <w:numId w:val="1006"/>
        </w:numPr>
      </w:pPr>
      <w:r>
        <w:t xml:space="preserve">Loans rose to $253 billion;</w:t>
      </w:r>
    </w:p>
    <w:p>
      <w:pPr>
        <w:pStyle w:val="Compact"/>
        <w:numPr>
          <w:ilvl w:val="0"/>
          <w:numId w:val="1006"/>
        </w:numPr>
      </w:pPr>
      <w:r>
        <w:t xml:space="preserve">Deposits increased by about $60 billion;</w:t>
      </w:r>
    </w:p>
    <w:p>
      <w:pPr>
        <w:pStyle w:val="Compact"/>
        <w:numPr>
          <w:ilvl w:val="0"/>
          <w:numId w:val="1006"/>
        </w:numPr>
      </w:pPr>
      <w:r>
        <w:t xml:space="preserve">Standardized risk-weighted assets increased by roughly $88 billion;</w:t>
      </w:r>
    </w:p>
    <w:p>
      <w:pPr>
        <w:pStyle w:val="Compact"/>
        <w:numPr>
          <w:ilvl w:val="0"/>
          <w:numId w:val="1006"/>
        </w:numPr>
      </w:pPr>
      <w:r>
        <w:t xml:space="preserve">The standardized CET1 ratio fell from 14.3% to</w:t>
      </w:r>
      <w:r>
        <w:t xml:space="preserve"> </w:t>
      </w:r>
      <w:r>
        <w:rPr>
          <w:b/>
          <w:bCs/>
        </w:rPr>
        <w:t xml:space="preserve">12.5%</w:t>
      </w:r>
      <w:r>
        <w:t xml:space="preserve">; and</w:t>
      </w:r>
    </w:p>
    <w:p>
      <w:pPr>
        <w:pStyle w:val="Compact"/>
        <w:numPr>
          <w:ilvl w:val="0"/>
          <w:numId w:val="1006"/>
        </w:numPr>
      </w:pPr>
      <w:r>
        <w:t xml:space="preserve">Balance-sheet leverage rose from 14.5 times to</w:t>
      </w:r>
      <w:r>
        <w:t xml:space="preserve"> </w:t>
      </w:r>
      <w:r>
        <w:rPr>
          <w:b/>
          <w:bCs/>
        </w:rPr>
        <w:t xml:space="preserve">16.8 times</w:t>
      </w:r>
      <w:r>
        <w:t xml:space="preserve">.</w:t>
      </w:r>
    </w:p>
    <w:p>
      <w:pPr>
        <w:pStyle w:val="FirstParagraph"/>
      </w:pPr>
      <w:r>
        <w:t xml:space="preserve">Capital was deployed into prime financing, acquisition financing, corporate lending, private-wealth lending and other client activities. Global Banking &amp; Markets still produced a return on equity above 22%, supporting management’s argument that the deployment is economically attractive.</w:t>
      </w:r>
    </w:p>
    <w:p>
      <w:pPr>
        <w:pStyle w:val="BodyText"/>
      </w:pPr>
      <w:r>
        <w:t xml:space="preserve">The second-quarter report should show whether that expansion is generating sustainable revenue without creating disproportionate funding, credit or capital costs.</w:t>
      </w:r>
    </w:p>
    <w:p>
      <w:pPr>
        <w:pStyle w:val="BodyText"/>
      </w:pPr>
      <w:r>
        <w:t xml:space="preserve">Key numbers include:</w:t>
      </w:r>
    </w:p>
    <w:p>
      <w:pPr>
        <w:pStyle w:val="Compact"/>
        <w:numPr>
          <w:ilvl w:val="0"/>
          <w:numId w:val="1007"/>
        </w:numPr>
      </w:pPr>
      <w:r>
        <w:t xml:space="preserve">Standardized CET1 ratio;</w:t>
      </w:r>
    </w:p>
    <w:p>
      <w:pPr>
        <w:pStyle w:val="Compact"/>
        <w:numPr>
          <w:ilvl w:val="0"/>
          <w:numId w:val="1007"/>
        </w:numPr>
      </w:pPr>
      <w:r>
        <w:t xml:space="preserve">Risk-weighted asset growth;</w:t>
      </w:r>
    </w:p>
    <w:p>
      <w:pPr>
        <w:pStyle w:val="Compact"/>
        <w:numPr>
          <w:ilvl w:val="0"/>
          <w:numId w:val="1007"/>
        </w:numPr>
      </w:pPr>
      <w:r>
        <w:t xml:space="preserve">Total loan and financing balances;</w:t>
      </w:r>
    </w:p>
    <w:p>
      <w:pPr>
        <w:pStyle w:val="Compact"/>
        <w:numPr>
          <w:ilvl w:val="0"/>
          <w:numId w:val="1007"/>
        </w:numPr>
      </w:pPr>
      <w:r>
        <w:t xml:space="preserve">Deposit growth and deposit costs;</w:t>
      </w:r>
    </w:p>
    <w:p>
      <w:pPr>
        <w:pStyle w:val="Compact"/>
        <w:numPr>
          <w:ilvl w:val="0"/>
          <w:numId w:val="1007"/>
        </w:numPr>
      </w:pPr>
      <w:r>
        <w:t xml:space="preserve">Provision for credit losses; and</w:t>
      </w:r>
    </w:p>
    <w:p>
      <w:pPr>
        <w:pStyle w:val="Compact"/>
        <w:numPr>
          <w:ilvl w:val="0"/>
          <w:numId w:val="1007"/>
        </w:numPr>
      </w:pPr>
      <w:r>
        <w:t xml:space="preserve">The balance between further deployment and repurchases.</w:t>
      </w:r>
    </w:p>
    <w:p>
      <w:pPr>
        <w:pStyle w:val="FirstParagraph"/>
      </w:pPr>
      <w:r>
        <w:t xml:space="preserve">Goldman’s 2026 stress capital buffer remains</w:t>
      </w:r>
      <w:r>
        <w:t xml:space="preserve"> </w:t>
      </w:r>
      <w:r>
        <w:rPr>
          <w:b/>
          <w:bCs/>
        </w:rPr>
        <w:t xml:space="preserve">3.4%</w:t>
      </w:r>
      <w:r>
        <w:t xml:space="preserve">, leaving its standardized CET1 requirement at 11.4%. The firm intends to raise its quarterly dividend from</w:t>
      </w:r>
      <w:r>
        <w:t xml:space="preserve"> </w:t>
      </w:r>
      <m:oMath>
        <m:r>
          <m:t>4.50</m:t>
        </m:r>
        <m:r>
          <m:t>t</m:t>
        </m:r>
        <m:r>
          <m:t>o</m:t>
        </m:r>
        <m:r>
          <m:rPr>
            <m:sty m:val="p"/>
          </m:rPr>
          <m:t>*</m:t>
        </m:r>
        <m:r>
          <m:rPr>
            <m:sty m:val="p"/>
          </m:rPr>
          <m:t>*</m:t>
        </m:r>
      </m:oMath>
      <w:r>
        <w:t xml:space="preserve">5.00 per share**, subject to board approval. That is a positive signal, but investors will still want clarity on buybacks after the firm repurchased a record $5 billion of stock in 1Q.</w:t>
      </w:r>
    </w:p>
    <w:bookmarkEnd w:id="14"/>
    <w:bookmarkStart w:id="15" w:name="X59ba0eaee0a2543558ebfea3ef1d0660d99d147"/>
    <w:p>
      <w:pPr>
        <w:pStyle w:val="Heading3"/>
      </w:pPr>
      <w:r>
        <w:t xml:space="preserve">5. Asset &amp; Wealth Management should provide a steadier growth story</w:t>
      </w:r>
    </w:p>
    <w:p>
      <w:pPr>
        <w:pStyle w:val="FirstParagraph"/>
      </w:pPr>
      <w:r>
        <w:t xml:space="preserve">Asset &amp; Wealth Management generated $4.08 billion of first-quarter revenue, including:</w:t>
      </w:r>
    </w:p>
    <w:p>
      <w:pPr>
        <w:pStyle w:val="Compact"/>
        <w:numPr>
          <w:ilvl w:val="0"/>
          <w:numId w:val="1008"/>
        </w:numPr>
      </w:pPr>
      <w:r>
        <w:t xml:space="preserve">$3.08 billion of management and other fees;</w:t>
      </w:r>
    </w:p>
    <w:p>
      <w:pPr>
        <w:pStyle w:val="Compact"/>
        <w:numPr>
          <w:ilvl w:val="0"/>
          <w:numId w:val="1008"/>
        </w:numPr>
      </w:pPr>
      <w:r>
        <w:t xml:space="preserve">$183 million of incentive fees;</w:t>
      </w:r>
    </w:p>
    <w:p>
      <w:pPr>
        <w:pStyle w:val="Compact"/>
        <w:numPr>
          <w:ilvl w:val="0"/>
          <w:numId w:val="1008"/>
        </w:numPr>
      </w:pPr>
      <w:r>
        <w:t xml:space="preserve">$638 million of private banking and lending revenue; and</w:t>
      </w:r>
    </w:p>
    <w:p>
      <w:pPr>
        <w:pStyle w:val="Compact"/>
        <w:numPr>
          <w:ilvl w:val="0"/>
          <w:numId w:val="1008"/>
        </w:numPr>
      </w:pPr>
      <w:r>
        <w:t xml:space="preserve">$180 million of investment revenue.</w:t>
      </w:r>
    </w:p>
    <w:p>
      <w:pPr>
        <w:pStyle w:val="FirstParagraph"/>
      </w:pPr>
      <w:r>
        <w:t xml:space="preserve">Total assets under supervision reached a record</w:t>
      </w:r>
      <w:r>
        <w:t xml:space="preserve"> </w:t>
      </w:r>
      <w:r>
        <w:rPr>
          <w:b/>
          <w:bCs/>
        </w:rPr>
        <w:t xml:space="preserve">$3.65 trillion</w:t>
      </w:r>
      <w:r>
        <w:t xml:space="preserve">, supported by $62 billion of long-term net inflows. Goldman has now produced long-term fee-based inflows for 33 consecutive quarters.</w:t>
      </w:r>
    </w:p>
    <w:p>
      <w:pPr>
        <w:pStyle w:val="BodyText"/>
      </w:pPr>
      <w:r>
        <w:t xml:space="preserve">Second-quarter items to watch include:</w:t>
      </w:r>
    </w:p>
    <w:p>
      <w:pPr>
        <w:pStyle w:val="Compact"/>
        <w:numPr>
          <w:ilvl w:val="0"/>
          <w:numId w:val="1009"/>
        </w:numPr>
      </w:pPr>
      <w:r>
        <w:t xml:space="preserve">Long-term net inflows by institutional, wealth and third-party channels;</w:t>
      </w:r>
    </w:p>
    <w:p>
      <w:pPr>
        <w:pStyle w:val="Compact"/>
        <w:numPr>
          <w:ilvl w:val="0"/>
          <w:numId w:val="1009"/>
        </w:numPr>
      </w:pPr>
      <w:r>
        <w:t xml:space="preserve">Growth in management fees;</w:t>
      </w:r>
    </w:p>
    <w:p>
      <w:pPr>
        <w:pStyle w:val="Compact"/>
        <w:numPr>
          <w:ilvl w:val="0"/>
          <w:numId w:val="1009"/>
        </w:numPr>
      </w:pPr>
      <w:r>
        <w:t xml:space="preserve">Alternative-asset fundraising;</w:t>
      </w:r>
    </w:p>
    <w:p>
      <w:pPr>
        <w:pStyle w:val="Compact"/>
        <w:numPr>
          <w:ilvl w:val="0"/>
          <w:numId w:val="1009"/>
        </w:numPr>
      </w:pPr>
      <w:r>
        <w:t xml:space="preserve">Progress toward the $750 billion alternative-AUS target for 2030;</w:t>
      </w:r>
    </w:p>
    <w:p>
      <w:pPr>
        <w:pStyle w:val="Compact"/>
        <w:numPr>
          <w:ilvl w:val="0"/>
          <w:numId w:val="1009"/>
        </w:numPr>
      </w:pPr>
      <w:r>
        <w:t xml:space="preserve">Private-credit inflows, redemptions and credit marks;</w:t>
      </w:r>
    </w:p>
    <w:p>
      <w:pPr>
        <w:pStyle w:val="Compact"/>
        <w:numPr>
          <w:ilvl w:val="0"/>
          <w:numId w:val="1009"/>
        </w:numPr>
      </w:pPr>
      <w:r>
        <w:t xml:space="preserve">Innovator ETF acquisition contributions; and</w:t>
      </w:r>
    </w:p>
    <w:p>
      <w:pPr>
        <w:pStyle w:val="Compact"/>
        <w:numPr>
          <w:ilvl w:val="0"/>
          <w:numId w:val="1009"/>
        </w:numPr>
      </w:pPr>
      <w:r>
        <w:t xml:space="preserve">Private banking and lending margins.</w:t>
      </w:r>
    </w:p>
    <w:p>
      <w:pPr>
        <w:pStyle w:val="FirstParagraph"/>
      </w:pPr>
      <w:r>
        <w:t xml:space="preserve">There are several favorable read-throughs. Innovator added approximately $31 billion of assets and more than 170 defined-outcome ETFs, while Goldman recently won roughly $70 billion of asset-management mandates from Verizon and Lockheed Martin. Its large private-credit vehicle also received redemption requests equal to only about 3% of shares for the June quarter, below its standard 5% quarterly repurchase cap and below the redemption levels reported by several competitors.</w:t>
      </w:r>
    </w:p>
    <w:p>
      <w:pPr>
        <w:pStyle w:val="BodyText"/>
      </w:pPr>
      <w:r>
        <w:t xml:space="preserve">The main headwind is private banking and lending. First-quarter revenue fell 12% year over year as higher deposit costs compressed margins. Management previously said that pressure could persist through much of 2026.</w:t>
      </w:r>
    </w:p>
    <w:bookmarkEnd w:id="15"/>
    <w:bookmarkStart w:id="16" w:name="Xcc937b7ab1c5717c9a2e2617ccd739dadc600fd"/>
    <w:p>
      <w:pPr>
        <w:pStyle w:val="Heading3"/>
      </w:pPr>
      <w:r>
        <w:t xml:space="preserve">6. Expenses could dilute an otherwise strong revenue beat</w:t>
      </w:r>
    </w:p>
    <w:p>
      <w:pPr>
        <w:pStyle w:val="FirstParagraph"/>
      </w:pPr>
      <w:r>
        <w:t xml:space="preserve">First-quarter operating expenses rose 14% year over year to $10.43 billion. Transaction-based expenses increased 36%, largely reflecting higher Equities activity. Goldman reported a 60.5% efficiency ratio and remains focused on reaching approximately 60%.</w:t>
      </w:r>
    </w:p>
    <w:p>
      <w:pPr>
        <w:pStyle w:val="BodyText"/>
      </w:pPr>
      <w:r>
        <w:t xml:space="preserve">The second quarter will test whether the firm can produce operating leverage while investing in:</w:t>
      </w:r>
    </w:p>
    <w:p>
      <w:pPr>
        <w:pStyle w:val="Compact"/>
        <w:numPr>
          <w:ilvl w:val="0"/>
          <w:numId w:val="1010"/>
        </w:numPr>
      </w:pPr>
      <w:r>
        <w:t xml:space="preserve">Cloud migration;</w:t>
      </w:r>
    </w:p>
    <w:p>
      <w:pPr>
        <w:pStyle w:val="Compact"/>
        <w:numPr>
          <w:ilvl w:val="0"/>
          <w:numId w:val="1010"/>
        </w:numPr>
      </w:pPr>
      <w:r>
        <w:t xml:space="preserve">Data infrastructure;</w:t>
      </w:r>
    </w:p>
    <w:p>
      <w:pPr>
        <w:pStyle w:val="Compact"/>
        <w:numPr>
          <w:ilvl w:val="0"/>
          <w:numId w:val="1010"/>
        </w:numPr>
      </w:pPr>
      <w:r>
        <w:t xml:space="preserve">AI implementation under One Goldman Sachs 3.0;</w:t>
      </w:r>
    </w:p>
    <w:p>
      <w:pPr>
        <w:pStyle w:val="Compact"/>
        <w:numPr>
          <w:ilvl w:val="0"/>
          <w:numId w:val="1010"/>
        </w:numPr>
      </w:pPr>
      <w:r>
        <w:t xml:space="preserve">Cybersecurity; and</w:t>
      </w:r>
    </w:p>
    <w:p>
      <w:pPr>
        <w:pStyle w:val="Compact"/>
        <w:numPr>
          <w:ilvl w:val="0"/>
          <w:numId w:val="1010"/>
        </w:numPr>
      </w:pPr>
      <w:r>
        <w:t xml:space="preserve">Growth businesses such as Asia financing and private wealth.</w:t>
      </w:r>
    </w:p>
    <w:p>
      <w:pPr>
        <w:pStyle w:val="FirstParagraph"/>
      </w:pPr>
      <w:r>
        <w:t xml:space="preserve">Goldman accrued compensation at 32% of revenue net of provisions in 1Q, down from 33% a year earlier. Investors should watch whether that ratio is maintained and whether higher transaction costs absorb a disproportionate share of incremental trading revenue.</w:t>
      </w:r>
    </w:p>
    <w:p>
      <w:pPr>
        <w:pStyle w:val="BodyText"/>
      </w:pPr>
      <w:r>
        <w:t xml:space="preserve">A revenue beat with an expense miss would probably be regarded as lower quality.</w:t>
      </w:r>
    </w:p>
    <w:bookmarkEnd w:id="16"/>
    <w:bookmarkStart w:id="17" w:name="X831770f1b0ffc53d87b795930ced246aa305f94"/>
    <w:p>
      <w:pPr>
        <w:pStyle w:val="Heading3"/>
      </w:pPr>
      <w:r>
        <w:t xml:space="preserve">7. Credit is unlikely to dominate, but scrutiny remains elevated</w:t>
      </w:r>
    </w:p>
    <w:p>
      <w:pPr>
        <w:pStyle w:val="FirstParagraph"/>
      </w:pPr>
      <w:r>
        <w:t xml:space="preserve">First-quarter credit provisions were $315 million, primarily reflecting wholesale loan growth and several small impairments. The increase was not attributed to defaults in private credit or FICC financing.</w:t>
      </w:r>
    </w:p>
    <w:p>
      <w:pPr>
        <w:pStyle w:val="BodyText"/>
      </w:pPr>
      <w:r>
        <w:t xml:space="preserve">Management said realized lifetime losses in FICC financing—excluding certain direct commercial real estate exposure—had been zero to date. Nevertheless, investors remain focused on:</w:t>
      </w:r>
    </w:p>
    <w:p>
      <w:pPr>
        <w:pStyle w:val="Compact"/>
        <w:numPr>
          <w:ilvl w:val="0"/>
          <w:numId w:val="1011"/>
        </w:numPr>
      </w:pPr>
      <w:r>
        <w:t xml:space="preserve">Private-credit portfolio marks;</w:t>
      </w:r>
    </w:p>
    <w:p>
      <w:pPr>
        <w:pStyle w:val="Compact"/>
        <w:numPr>
          <w:ilvl w:val="0"/>
          <w:numId w:val="1011"/>
        </w:numPr>
      </w:pPr>
      <w:r>
        <w:t xml:space="preserve">Software-related exposure;</w:t>
      </w:r>
    </w:p>
    <w:p>
      <w:pPr>
        <w:pStyle w:val="Compact"/>
        <w:numPr>
          <w:ilvl w:val="0"/>
          <w:numId w:val="1011"/>
        </w:numPr>
      </w:pPr>
      <w:r>
        <w:t xml:space="preserve">Acquisition-financing commitments;</w:t>
      </w:r>
    </w:p>
    <w:p>
      <w:pPr>
        <w:pStyle w:val="Compact"/>
        <w:numPr>
          <w:ilvl w:val="0"/>
          <w:numId w:val="1011"/>
        </w:numPr>
      </w:pPr>
      <w:r>
        <w:t xml:space="preserve">Commercial real estate;</w:t>
      </w:r>
    </w:p>
    <w:p>
      <w:pPr>
        <w:pStyle w:val="Compact"/>
        <w:numPr>
          <w:ilvl w:val="0"/>
          <w:numId w:val="1011"/>
        </w:numPr>
      </w:pPr>
      <w:r>
        <w:t xml:space="preserve">Wholesale criticized loans; and</w:t>
      </w:r>
    </w:p>
    <w:p>
      <w:pPr>
        <w:pStyle w:val="Compact"/>
        <w:numPr>
          <w:ilvl w:val="0"/>
          <w:numId w:val="1011"/>
        </w:numPr>
      </w:pPr>
      <w:r>
        <w:t xml:space="preserve">Reserve building associated with balance-sheet growth.</w:t>
      </w:r>
    </w:p>
    <w:p>
      <w:pPr>
        <w:pStyle w:val="FirstParagraph"/>
      </w:pPr>
      <w:r>
        <w:t xml:space="preserve">The most likely outcome is a provision reflecting growth and normal idiosyncratic impairments rather than broad deterioration. A material increase in reserves or nonaccrual loans would be a notable negative because credit concerns are not central to the current consensus thesis.</w:t>
      </w:r>
    </w:p>
    <w:p>
      <w:r>
        <w:pict>
          <v:rect style="width:0;height:1.5pt" o:hralign="center" o:hrstd="t" o:hr="t"/>
        </w:pict>
      </w:r>
    </w:p>
    <w:bookmarkEnd w:id="17"/>
    <w:bookmarkEnd w:id="18"/>
    <w:bookmarkStart w:id="19" w:name="what-would-constitute-a-good-report"/>
    <w:p>
      <w:pPr>
        <w:pStyle w:val="Heading2"/>
      </w:pPr>
      <w:r>
        <w:t xml:space="preserve">What would constitute a good report?</w:t>
      </w:r>
    </w:p>
    <w:p>
      <w:pPr>
        <w:pStyle w:val="FirstParagraph"/>
      </w:pPr>
      <w:r>
        <w:t xml:space="preserve">A high-quality result would likely include:</w:t>
      </w:r>
    </w:p>
    <w:p>
      <w:pPr>
        <w:pStyle w:val="Compact"/>
        <w:numPr>
          <w:ilvl w:val="0"/>
          <w:numId w:val="1012"/>
        </w:numPr>
      </w:pPr>
      <w:r>
        <w:t xml:space="preserve">EPS comfortably above $14.15 without an unusually low tax rate;</w:t>
      </w:r>
    </w:p>
    <w:p>
      <w:pPr>
        <w:pStyle w:val="Compact"/>
        <w:numPr>
          <w:ilvl w:val="0"/>
          <w:numId w:val="1012"/>
        </w:numPr>
      </w:pPr>
      <w:r>
        <w:t xml:space="preserve">Revenue above $16.04 billion;</w:t>
      </w:r>
    </w:p>
    <w:p>
      <w:pPr>
        <w:pStyle w:val="Compact"/>
        <w:numPr>
          <w:ilvl w:val="0"/>
          <w:numId w:val="1012"/>
        </w:numPr>
      </w:pPr>
      <w:r>
        <w:t xml:space="preserve">Equities near or above $5 billion;</w:t>
      </w:r>
    </w:p>
    <w:p>
      <w:pPr>
        <w:pStyle w:val="Compact"/>
        <w:numPr>
          <w:ilvl w:val="0"/>
          <w:numId w:val="1012"/>
        </w:numPr>
      </w:pPr>
      <w:r>
        <w:t xml:space="preserve">FICC above the $3.67 billion consensus;</w:t>
      </w:r>
    </w:p>
    <w:p>
      <w:pPr>
        <w:pStyle w:val="Compact"/>
        <w:numPr>
          <w:ilvl w:val="0"/>
          <w:numId w:val="1012"/>
        </w:numPr>
      </w:pPr>
      <w:r>
        <w:t xml:space="preserve">Investment-banking fees at or above the $2.75 billion estimate;</w:t>
      </w:r>
    </w:p>
    <w:p>
      <w:pPr>
        <w:pStyle w:val="Compact"/>
        <w:numPr>
          <w:ilvl w:val="0"/>
          <w:numId w:val="1012"/>
        </w:numPr>
      </w:pPr>
      <w:r>
        <w:t xml:space="preserve">Stable or higher investment-banking backlog;</w:t>
      </w:r>
    </w:p>
    <w:p>
      <w:pPr>
        <w:pStyle w:val="Compact"/>
        <w:numPr>
          <w:ilvl w:val="0"/>
          <w:numId w:val="1012"/>
        </w:numPr>
      </w:pPr>
      <w:r>
        <w:t xml:space="preserve">Continued strong long-term AWM inflows;</w:t>
      </w:r>
    </w:p>
    <w:p>
      <w:pPr>
        <w:pStyle w:val="Compact"/>
        <w:numPr>
          <w:ilvl w:val="0"/>
          <w:numId w:val="1012"/>
        </w:numPr>
      </w:pPr>
      <w:r>
        <w:t xml:space="preserve">An efficiency ratio around 60%;</w:t>
      </w:r>
    </w:p>
    <w:p>
      <w:pPr>
        <w:pStyle w:val="Compact"/>
        <w:numPr>
          <w:ilvl w:val="0"/>
          <w:numId w:val="1012"/>
        </w:numPr>
      </w:pPr>
      <w:r>
        <w:t xml:space="preserve">CET1 remaining within management’s 50–100 basis-point target buffer, or a credible explanation for any shortfall;</w:t>
      </w:r>
    </w:p>
    <w:p>
      <w:pPr>
        <w:pStyle w:val="Compact"/>
        <w:numPr>
          <w:ilvl w:val="0"/>
          <w:numId w:val="1012"/>
        </w:numPr>
      </w:pPr>
      <w:r>
        <w:t xml:space="preserve">Healthy credit metrics; and</w:t>
      </w:r>
    </w:p>
    <w:p>
      <w:pPr>
        <w:pStyle w:val="Compact"/>
        <w:numPr>
          <w:ilvl w:val="0"/>
          <w:numId w:val="1012"/>
        </w:numPr>
      </w:pPr>
      <w:r>
        <w:t xml:space="preserve">Positive commentary on third-quarter client engagement.</w:t>
      </w:r>
    </w:p>
    <w:p>
      <w:pPr>
        <w:pStyle w:val="FirstParagraph"/>
      </w:pPr>
      <w:r>
        <w:t xml:space="preserve">Given reported buy-side “whisper” expectations, simply matching these published figures may produce a muted response.</w:t>
      </w:r>
    </w:p>
    <w:p>
      <w:r>
        <w:pict>
          <v:rect style="width:0;height:1.5pt" o:hralign="center" o:hrstd="t" o:hr="t"/>
        </w:pict>
      </w:r>
    </w:p>
    <w:bookmarkEnd w:id="19"/>
    <w:bookmarkStart w:id="23" w:name="potential-reaction-framework"/>
    <w:p>
      <w:pPr>
        <w:pStyle w:val="Heading2"/>
      </w:pPr>
      <w:r>
        <w:t xml:space="preserve">Potential reaction framework</w:t>
      </w:r>
    </w:p>
    <w:bookmarkStart w:id="20" w:name="bull-case"/>
    <w:p>
      <w:pPr>
        <w:pStyle w:val="Heading3"/>
      </w:pPr>
      <w:r>
        <w:t xml:space="preserve">Bull case</w:t>
      </w:r>
    </w:p>
    <w:p>
      <w:pPr>
        <w:pStyle w:val="Compact"/>
        <w:numPr>
          <w:ilvl w:val="0"/>
          <w:numId w:val="1013"/>
        </w:numPr>
      </w:pPr>
      <w:r>
        <w:t xml:space="preserve">Trading meaningfully exceeds consensus, particularly in Equities;</w:t>
      </w:r>
    </w:p>
    <w:p>
      <w:pPr>
        <w:pStyle w:val="Compact"/>
        <w:numPr>
          <w:ilvl w:val="0"/>
          <w:numId w:val="1013"/>
        </w:numPr>
      </w:pPr>
      <w:r>
        <w:t xml:space="preserve">Banking fees beat with a stable or rising backlog;</w:t>
      </w:r>
    </w:p>
    <w:p>
      <w:pPr>
        <w:pStyle w:val="Compact"/>
        <w:numPr>
          <w:ilvl w:val="0"/>
          <w:numId w:val="1013"/>
        </w:numPr>
      </w:pPr>
      <w:r>
        <w:t xml:space="preserve">AWM flows and management fees remain strong;</w:t>
      </w:r>
    </w:p>
    <w:p>
      <w:pPr>
        <w:pStyle w:val="Compact"/>
        <w:numPr>
          <w:ilvl w:val="0"/>
          <w:numId w:val="1013"/>
        </w:numPr>
      </w:pPr>
      <w:r>
        <w:t xml:space="preserve">Expenses demonstrate operating leverage;</w:t>
      </w:r>
    </w:p>
    <w:p>
      <w:pPr>
        <w:pStyle w:val="Compact"/>
        <w:numPr>
          <w:ilvl w:val="0"/>
          <w:numId w:val="1013"/>
        </w:numPr>
      </w:pPr>
      <w:r>
        <w:t xml:space="preserve">CET1 stabilizes despite continued capital deployment;</w:t>
      </w:r>
    </w:p>
    <w:p>
      <w:pPr>
        <w:pStyle w:val="Compact"/>
        <w:numPr>
          <w:ilvl w:val="0"/>
          <w:numId w:val="1013"/>
        </w:numPr>
      </w:pPr>
      <w:r>
        <w:t xml:space="preserve">Management remains constructive on M&amp;A, financing and third-quarter activity.</w:t>
      </w:r>
    </w:p>
    <w:p>
      <w:pPr>
        <w:pStyle w:val="FirstParagraph"/>
      </w:pPr>
      <w:r>
        <w:t xml:space="preserve">This would reinforce the argument that Goldman has structurally increased the scale and durability of its earnings.</w:t>
      </w:r>
    </w:p>
    <w:bookmarkEnd w:id="20"/>
    <w:bookmarkStart w:id="21" w:name="base-case"/>
    <w:p>
      <w:pPr>
        <w:pStyle w:val="Heading3"/>
      </w:pPr>
      <w:r>
        <w:t xml:space="preserve">Base case</w:t>
      </w:r>
    </w:p>
    <w:p>
      <w:pPr>
        <w:pStyle w:val="Compact"/>
        <w:numPr>
          <w:ilvl w:val="0"/>
          <w:numId w:val="1014"/>
        </w:numPr>
      </w:pPr>
      <w:r>
        <w:t xml:space="preserve">Modest EPS and revenue beat;</w:t>
      </w:r>
    </w:p>
    <w:p>
      <w:pPr>
        <w:pStyle w:val="Compact"/>
        <w:numPr>
          <w:ilvl w:val="0"/>
          <w:numId w:val="1014"/>
        </w:numPr>
      </w:pPr>
      <w:r>
        <w:t xml:space="preserve">Trading is solid but below exceptional first-quarter levels;</w:t>
      </w:r>
    </w:p>
    <w:p>
      <w:pPr>
        <w:pStyle w:val="Compact"/>
        <w:numPr>
          <w:ilvl w:val="0"/>
          <w:numId w:val="1014"/>
        </w:numPr>
      </w:pPr>
      <w:r>
        <w:t xml:space="preserve">Investment banking tracks consensus;</w:t>
      </w:r>
    </w:p>
    <w:p>
      <w:pPr>
        <w:pStyle w:val="Compact"/>
        <w:numPr>
          <w:ilvl w:val="0"/>
          <w:numId w:val="1014"/>
        </w:numPr>
      </w:pPr>
      <w:r>
        <w:t xml:space="preserve">Expenses remain elevated because of transaction activity and technology investment;</w:t>
      </w:r>
    </w:p>
    <w:p>
      <w:pPr>
        <w:pStyle w:val="Compact"/>
        <w:numPr>
          <w:ilvl w:val="0"/>
          <w:numId w:val="1014"/>
        </w:numPr>
      </w:pPr>
      <w:r>
        <w:t xml:space="preserve">Capital and credit are broadly stable;</w:t>
      </w:r>
    </w:p>
    <w:p>
      <w:pPr>
        <w:pStyle w:val="Compact"/>
        <w:numPr>
          <w:ilvl w:val="0"/>
          <w:numId w:val="1014"/>
        </w:numPr>
      </w:pPr>
      <w:r>
        <w:t xml:space="preserve">Management offers a constructive but qualified outlook.</w:t>
      </w:r>
    </w:p>
    <w:p>
      <w:pPr>
        <w:pStyle w:val="FirstParagraph"/>
      </w:pPr>
      <w:r>
        <w:t xml:space="preserve">Fundamentally positive, but the share-price reaction could be limited because much is already discounted.</w:t>
      </w:r>
    </w:p>
    <w:bookmarkEnd w:id="21"/>
    <w:bookmarkStart w:id="22" w:name="bear-case"/>
    <w:p>
      <w:pPr>
        <w:pStyle w:val="Heading3"/>
      </w:pPr>
      <w:r>
        <w:t xml:space="preserve">Bear case</w:t>
      </w:r>
    </w:p>
    <w:p>
      <w:pPr>
        <w:pStyle w:val="Compact"/>
        <w:numPr>
          <w:ilvl w:val="0"/>
          <w:numId w:val="1015"/>
        </w:numPr>
      </w:pPr>
      <w:r>
        <w:t xml:space="preserve">Equities financing falls more sharply than expected;</w:t>
      </w:r>
    </w:p>
    <w:p>
      <w:pPr>
        <w:pStyle w:val="Compact"/>
        <w:numPr>
          <w:ilvl w:val="0"/>
          <w:numId w:val="1015"/>
        </w:numPr>
      </w:pPr>
      <w:r>
        <w:t xml:space="preserve">FICC fails to benefit from volatility;</w:t>
      </w:r>
    </w:p>
    <w:p>
      <w:pPr>
        <w:pStyle w:val="Compact"/>
        <w:numPr>
          <w:ilvl w:val="0"/>
          <w:numId w:val="1015"/>
        </w:numPr>
      </w:pPr>
      <w:r>
        <w:t xml:space="preserve">Banking revenue is acceptable but backlog or pipeline commentary weakens;</w:t>
      </w:r>
    </w:p>
    <w:p>
      <w:pPr>
        <w:pStyle w:val="Compact"/>
        <w:numPr>
          <w:ilvl w:val="0"/>
          <w:numId w:val="1015"/>
        </w:numPr>
      </w:pPr>
      <w:r>
        <w:t xml:space="preserve">Deposit costs pressure AWM lending revenue;</w:t>
      </w:r>
    </w:p>
    <w:p>
      <w:pPr>
        <w:pStyle w:val="Compact"/>
        <w:numPr>
          <w:ilvl w:val="0"/>
          <w:numId w:val="1015"/>
        </w:numPr>
      </w:pPr>
      <w:r>
        <w:t xml:space="preserve">Expenses run above expectations;</w:t>
      </w:r>
    </w:p>
    <w:p>
      <w:pPr>
        <w:pStyle w:val="Compact"/>
        <w:numPr>
          <w:ilvl w:val="0"/>
          <w:numId w:val="1015"/>
        </w:numPr>
      </w:pPr>
      <w:r>
        <w:t xml:space="preserve">CET1 declines further or buyback capacity appears constrained;</w:t>
      </w:r>
    </w:p>
    <w:p>
      <w:pPr>
        <w:pStyle w:val="Compact"/>
        <w:numPr>
          <w:ilvl w:val="0"/>
          <w:numId w:val="1015"/>
        </w:numPr>
      </w:pPr>
      <w:r>
        <w:t xml:space="preserve">Private-credit marks, wholesale impairments or reserves increase.</w:t>
      </w:r>
    </w:p>
    <w:p>
      <w:pPr>
        <w:pStyle w:val="FirstParagraph"/>
      </w:pPr>
      <w:r>
        <w:t xml:space="preserve">Because GS trades at a premium valuation and investor positioning is crowded, disappointment in any combination of trading, pipeline commentary and capital could produce an outsized negative reaction.</w:t>
      </w:r>
    </w:p>
    <w:p>
      <w:r>
        <w:pict>
          <v:rect style="width:0;height:1.5pt" o:hralign="center" o:hrstd="t" o:hr="t"/>
        </w:pict>
      </w:r>
    </w:p>
    <w:bookmarkEnd w:id="22"/>
    <w:bookmarkEnd w:id="23"/>
    <w:bookmarkStart w:id="24" w:name="key-questions-for-management"/>
    <w:p>
      <w:pPr>
        <w:pStyle w:val="Heading2"/>
      </w:pPr>
      <w:r>
        <w:t xml:space="preserve">Key questions for management</w:t>
      </w:r>
    </w:p>
    <w:p>
      <w:pPr>
        <w:pStyle w:val="Compact"/>
        <w:numPr>
          <w:ilvl w:val="0"/>
          <w:numId w:val="1016"/>
        </w:numPr>
      </w:pPr>
      <w:r>
        <w:t xml:space="preserve">How much of the first-quarter Equities financing increase is proving durable?</w:t>
      </w:r>
    </w:p>
    <w:p>
      <w:pPr>
        <w:pStyle w:val="Compact"/>
        <w:numPr>
          <w:ilvl w:val="0"/>
          <w:numId w:val="1016"/>
        </w:numPr>
      </w:pPr>
      <w:r>
        <w:t xml:space="preserve">Has Goldman closed the competitive gap in Asia, or is additional capital deployment planned?</w:t>
      </w:r>
    </w:p>
    <w:p>
      <w:pPr>
        <w:pStyle w:val="Compact"/>
        <w:numPr>
          <w:ilvl w:val="0"/>
          <w:numId w:val="1016"/>
        </w:numPr>
      </w:pPr>
      <w:r>
        <w:t xml:space="preserve">Did the investment-banking backlog grow, decline or remain stable during 2Q?</w:t>
      </w:r>
    </w:p>
    <w:p>
      <w:pPr>
        <w:pStyle w:val="Compact"/>
        <w:numPr>
          <w:ilvl w:val="0"/>
          <w:numId w:val="1016"/>
        </w:numPr>
      </w:pPr>
      <w:r>
        <w:t xml:space="preserve">When does management expect sponsor monetization and IPO activity to accelerate?</w:t>
      </w:r>
    </w:p>
    <w:p>
      <w:pPr>
        <w:pStyle w:val="Compact"/>
        <w:numPr>
          <w:ilvl w:val="0"/>
          <w:numId w:val="1016"/>
        </w:numPr>
      </w:pPr>
      <w:r>
        <w:t xml:space="preserve">What returns is Goldman earning on the recent increase in prime, acquisition and corporate financing?</w:t>
      </w:r>
    </w:p>
    <w:p>
      <w:pPr>
        <w:pStyle w:val="Compact"/>
        <w:numPr>
          <w:ilvl w:val="0"/>
          <w:numId w:val="1016"/>
        </w:numPr>
      </w:pPr>
      <w:r>
        <w:t xml:space="preserve">Where did standardized CET1 end the quarter, and what is the preferred operating buffer?</w:t>
      </w:r>
    </w:p>
    <w:p>
      <w:pPr>
        <w:pStyle w:val="Compact"/>
        <w:numPr>
          <w:ilvl w:val="0"/>
          <w:numId w:val="1016"/>
        </w:numPr>
      </w:pPr>
      <w:r>
        <w:t xml:space="preserve">How should investors think about second-half repurchases following the $5 billion first-quarter buyback?</w:t>
      </w:r>
    </w:p>
    <w:p>
      <w:pPr>
        <w:pStyle w:val="Compact"/>
        <w:numPr>
          <w:ilvl w:val="0"/>
          <w:numId w:val="1016"/>
        </w:numPr>
      </w:pPr>
      <w:r>
        <w:t xml:space="preserve">Are deposit costs still expected to pressure private banking and lending through year-end?</w:t>
      </w:r>
    </w:p>
    <w:p>
      <w:pPr>
        <w:pStyle w:val="Compact"/>
        <w:numPr>
          <w:ilvl w:val="0"/>
          <w:numId w:val="1016"/>
        </w:numPr>
      </w:pPr>
      <w:r>
        <w:t xml:space="preserve">Are there any emerging credit issues in software, private credit, commercial real estate or acquisition financing?</w:t>
      </w:r>
    </w:p>
    <w:p>
      <w:pPr>
        <w:pStyle w:val="Compact"/>
        <w:numPr>
          <w:ilvl w:val="0"/>
          <w:numId w:val="1016"/>
        </w:numPr>
      </w:pPr>
      <w:r>
        <w:t xml:space="preserve">Can Goldman reach its approximately 60% efficiency objective while accelerating cloud, data and AI investment?</w:t>
      </w:r>
    </w:p>
    <w:p>
      <w:pPr>
        <w:pStyle w:val="Compact"/>
        <w:numPr>
          <w:ilvl w:val="0"/>
          <w:numId w:val="1016"/>
        </w:numPr>
      </w:pPr>
      <w:r>
        <w:t xml:space="preserve">How has client activity changed following the renewed Middle East escalation in July?</w:t>
      </w:r>
    </w:p>
    <w:p>
      <w:pPr>
        <w:pStyle w:val="Compact"/>
        <w:numPr>
          <w:ilvl w:val="0"/>
          <w:numId w:val="1016"/>
        </w:numPr>
      </w:pPr>
      <w:r>
        <w:t xml:space="preserve">Does management still expect an approximately 20% full-year effective tax rate?</w:t>
      </w:r>
    </w:p>
    <w:bookmarkEnd w:id="24"/>
    <w:bookmarkStart w:id="25" w:name="conclusion"/>
    <w:p>
      <w:pPr>
        <w:pStyle w:val="Heading2"/>
      </w:pPr>
      <w:r>
        <w:t xml:space="preserve">Conclusion</w:t>
      </w:r>
    </w:p>
    <w:p>
      <w:pPr>
        <w:pStyle w:val="FirstParagraph"/>
      </w:pPr>
      <w:r>
        <w:t xml:space="preserve">Goldman’s underlying businesses appear well positioned for another strong quarter. Trading, strategic M&amp;A, financing and asset-management flows all provide credible avenues for upside. The firm also has a cleaner strategic profile than in prior years, with Platform Solutions becoming less important and fee-based AWM revenue growing.</w:t>
      </w:r>
    </w:p>
    <w:p>
      <w:pPr>
        <w:pStyle w:val="BodyText"/>
      </w:pPr>
      <w:r>
        <w:t xml:space="preserve">The investment debate is now centered less on whether Goldman’s franchise is improving and more on</w:t>
      </w:r>
      <w:r>
        <w:t xml:space="preserve"> </w:t>
      </w:r>
      <w:r>
        <w:rPr>
          <w:b/>
          <w:bCs/>
        </w:rPr>
        <w:t xml:space="preserve">how much improvement is already priced in</w:t>
      </w:r>
      <w:r>
        <w:t xml:space="preserve">. With the stock near 3.1 times first-quarter tangible book value and expectations elevated, the hurdle is high: Goldman likely needs not only a clear earnings beat, but also evidence that its expanded balance sheet, banking backlog and trading franchise can continue generating high-teens or better returns without sacrificing capital flexibility.</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2026-07-14T01:17:12Z</dcterms:created>
  <dcterms:modified xsi:type="dcterms:W3CDTF">2026-07-14T01:17:12Z</dcterms:modified>
</cp:coreProperties>
</file>

<file path=docProps/custom.xml><?xml version="1.0" encoding="utf-8"?>
<Properties xmlns="http://schemas.openxmlformats.org/officeDocument/2006/custom-properties" xmlns:vt="http://schemas.openxmlformats.org/officeDocument/2006/docPropsVTypes"/>
</file>