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s-earnings-predictions--2026-07-14"/>
    <w:p>
      <w:pPr>
        <w:pStyle w:val="Heading1"/>
      </w:pPr>
      <w:r>
        <w:t xml:space="preserve">GS Earnings Predictions — 2026-07-14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~$16.45B vs. cons $16.04B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Investment-banking fees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~$2.91B vs. cons $2.75B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Equities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~$4.83B vs. cons $4.90B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Investment-banking backlog / 2H26 fee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~4% y/y fee-growth outlook vs. cons 3% y/y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Equities-financing growth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~20% y/y financing-revenue growth vs. cons 15% y/y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Asset &amp; Wealth Management private-banking / lending revenue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~6% y/y durable-revenue growth vs. cons 8% y/y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 / common-stock repurchases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~$4.5B quarterly repurchases vs. cons $4.5B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(STABILIZE)</w:t>
            </w:r>
          </w:p>
        </w:tc>
        <w:tc>
          <w:tcPr/>
          <w:p>
            <w:pPr>
              <w:pStyle w:val="Compact"/>
            </w:pPr>
            <w:r>
              <w:t xml:space="preserve">A ~$16.45B revenue print versus</w:t>
            </w:r>
            <w:r>
              <w:t xml:space="preserve"> </w:t>
            </w:r>
            <m:oMath>
              <m:r>
                <m:t>16.04</m:t>
              </m:r>
              <m:r>
                <m:t>B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s</m:t>
              </m:r>
              <m:r>
                <m:t>t</m:t>
              </m:r>
              <m:r>
                <m:t>r</m:t>
              </m:r>
              <m:r>
                <m:t>o</m:t>
              </m:r>
              <m:r>
                <m:t>n</m:t>
              </m:r>
              <m:r>
                <m:t>g</m:t>
              </m:r>
              <m:r>
                <m:t>e</m:t>
              </m:r>
              <m:r>
                <m:t>r</m:t>
              </m:r>
              <m:r>
                <m:t>b</m:t>
              </m:r>
              <m:r>
                <m:t>a</m:t>
              </m:r>
              <m:r>
                <m:t>n</m:t>
              </m:r>
              <m:r>
                <m:t>k</m:t>
              </m:r>
              <m:r>
                <m:t>i</m:t>
              </m:r>
              <m:r>
                <m:t>n</m:t>
              </m:r>
              <m:r>
                <m:t>g</m:t>
              </m:r>
              <m:r>
                <m:t>f</m:t>
              </m:r>
              <m:r>
                <m:t>e</m:t>
              </m:r>
              <m:r>
                <m:t>e</m:t>
              </m:r>
              <m:r>
                <m:t>s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c</m:t>
              </m:r>
              <m:r>
                <m:t>l</m:t>
              </m:r>
              <m:r>
                <m:t>e</m:t>
              </m:r>
              <m:r>
                <m:t>a</m:t>
              </m:r>
              <m:r>
                <m:t>r</m:t>
              </m:r>
              <m:r>
                <m:t>t</m:t>
              </m:r>
              <m:r>
                <m:t>h</m:t>
              </m:r>
              <m:r>
                <m:t>e</m:t>
              </m:r>
              <m:r>
                <m:t>h</m:t>
              </m:r>
              <m:r>
                <m:t>e</m:t>
              </m:r>
              <m:r>
                <m:t>a</m:t>
              </m:r>
              <m:r>
                <m:t>d</m:t>
              </m:r>
              <m:r>
                <m:t>l</m:t>
              </m:r>
              <m:r>
                <m:t>i</m:t>
              </m:r>
              <m:r>
                <m:t>n</m:t>
              </m:r>
              <m:r>
                <m:t>e</m:t>
              </m:r>
              <m:r>
                <m:t>h</m:t>
              </m:r>
              <m:r>
                <m:t>u</m:t>
              </m:r>
              <m:r>
                <m:t>r</m:t>
              </m:r>
              <m:r>
                <m:t>d</m:t>
              </m:r>
              <m:r>
                <m:t>l</m:t>
              </m:r>
              <m:r>
                <m:t>e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a</m:t>
              </m:r>
              <m:r>
                <m:t>n</m:t>
              </m:r>
              <m:r>
                <m:t>E</m:t>
              </m:r>
              <m:r>
                <m:t>q</m:t>
              </m:r>
              <m:r>
                <m:t>u</m:t>
              </m:r>
              <m:r>
                <m:t>i</m:t>
              </m:r>
              <m:r>
                <m:t>t</m:t>
              </m:r>
              <m:r>
                <m:t>i</m:t>
              </m:r>
              <m:r>
                <m:t>e</m:t>
              </m:r>
              <m:r>
                <m:t>s</m:t>
              </m:r>
              <m:r>
                <m:t>m</m:t>
              </m:r>
              <m:r>
                <m:t>i</m:t>
              </m:r>
              <m:r>
                <m:t>s</m:t>
              </m:r>
              <m:r>
                <m:t>s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4.83B versus $4.90B and still-elevated valuation/positioning limit estimate-revision upside. Better banking and financing commentary supports maintained out-period estimates rather than a material upward reset.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2026-07-14T01:16:07Z</dcterms:created>
  <dcterms:modified xsi:type="dcterms:W3CDTF">2026-07-14T01:16:07Z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