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goldman-sachs-gs-2q26-earnings-preview"/>
    <w:p>
      <w:pPr>
        <w:pStyle w:val="Heading1"/>
      </w:pPr>
      <w:r>
        <w:t xml:space="preserve">Goldman Sachs (GS) 2Q26 Earnings Preview</w:t>
      </w:r>
    </w:p>
    <w:p>
      <w:pPr>
        <w:pStyle w:val="FirstParagraph"/>
      </w:pPr>
      <w:r>
        <w:rPr>
          <w:b/>
          <w:bCs/>
        </w:rPr>
        <w:t xml:space="preserve">Event:</w:t>
      </w:r>
      <w:r>
        <w:t xml:space="preserve"> </w:t>
      </w:r>
      <w:r>
        <w:t xml:space="preserve">2Q26 earnings call —</w:t>
      </w:r>
      <w:r>
        <w:t xml:space="preserve"> </w:t>
      </w:r>
      <w:r>
        <w:rPr>
          <w:b/>
          <w:bCs/>
        </w:rPr>
        <w:t xml:space="preserve">July 14, 2026</w:t>
      </w:r>
      <w:r>
        <w:br/>
      </w:r>
      <w:r>
        <w:rPr>
          <w:b/>
          <w:bCs/>
        </w:rPr>
        <w:t xml:space="preserve">Report setup:</w:t>
      </w:r>
      <w:r>
        <w:t xml:space="preserve"> </w:t>
      </w:r>
      <w:r>
        <w:t xml:space="preserve">Expectations are high. The core debate is less about whether Goldman can deliver strong year-over-year earnings growth and more about whether results and forward commentary can validate the stock’s premium valuation, elevated positioning, and optimism around trading, advisory, and capital deployment.</w:t>
      </w:r>
    </w:p>
    <w:bookmarkStart w:id="9" w:name="bottom-line"/>
    <w:p>
      <w:pPr>
        <w:pStyle w:val="Heading2"/>
      </w:pPr>
      <w:r>
        <w:t xml:space="preserve">Bottom line</w:t>
      </w:r>
    </w:p>
    <w:p>
      <w:pPr>
        <w:pStyle w:val="FirstParagraph"/>
      </w:pPr>
      <w:r>
        <w:t xml:space="preserve">Goldman enters the quarter with favorable operating momentum: robust investment-banking backlog, continued strength in equities financing, high client activity, sizable Asset &amp; Wealth Management inflows, and a more constructive capital-regulatory backdrop. The second quarter also contained substantial macro and geopolitical volatility—normally a supportive environment for client intermediation.</w:t>
      </w:r>
    </w:p>
    <w:p>
      <w:pPr>
        <w:pStyle w:val="BodyText"/>
      </w:pPr>
      <w:r>
        <w:t xml:space="preserve">However, the hurdle is elevated. Consensus already embeds approximately</w:t>
      </w:r>
      <w:r>
        <w:t xml:space="preserve"> </w:t>
      </w:r>
      <m:oMath>
        <m:r>
          <m:t>16.0</m:t>
        </m:r>
        <m:r>
          <m:t>b</m:t>
        </m:r>
        <m:r>
          <m:t>i</m:t>
        </m:r>
        <m:r>
          <m:t>l</m:t>
        </m:r>
        <m:r>
          <m:t>l</m:t>
        </m:r>
        <m:r>
          <m:t>i</m:t>
        </m:r>
        <m:r>
          <m:t>o</m:t>
        </m:r>
        <m:r>
          <m:t>n</m:t>
        </m:r>
        <m:r>
          <m:t>o</m:t>
        </m:r>
        <m:r>
          <m:t>f</m:t>
        </m:r>
        <m:r>
          <m:t>r</m:t>
        </m:r>
        <m:r>
          <m:t>e</m:t>
        </m:r>
        <m:r>
          <m:t>v</m:t>
        </m:r>
        <m:r>
          <m:t>e</m:t>
        </m:r>
        <m:r>
          <m:t>n</m:t>
        </m:r>
        <m:r>
          <m:t>u</m:t>
        </m:r>
        <m:r>
          <m:t>e</m:t>
        </m:r>
        <m:r>
          <m:rPr>
            <m:sty m:val="p"/>
          </m:rPr>
          <m:t>*</m:t>
        </m:r>
        <m:r>
          <m:rPr>
            <m:sty m:val="p"/>
          </m:rPr>
          <m:t>*</m:t>
        </m:r>
        <m:r>
          <m:t>a</m:t>
        </m:r>
        <m:r>
          <m:t>n</m:t>
        </m:r>
        <m:r>
          <m:t>d</m:t>
        </m:r>
        <m:r>
          <m:rPr>
            <m:sty m:val="p"/>
          </m:rPr>
          <m:t>*</m:t>
        </m:r>
        <m:r>
          <m:rPr>
            <m:sty m:val="p"/>
          </m:rPr>
          <m:t>*</m:t>
        </m:r>
      </m:oMath>
      <w:r>
        <w:rPr>
          <w:b/>
          <w:bCs/>
        </w:rPr>
        <w:t xml:space="preserve">14.15 of EPS</w:t>
      </w:r>
      <w:r>
        <w:t xml:space="preserve">, implying roughly</w:t>
      </w:r>
      <w:r>
        <w:t xml:space="preserve"> </w:t>
      </w:r>
      <w:r>
        <w:rPr>
          <w:b/>
          <w:bCs/>
        </w:rPr>
        <w:t xml:space="preserve">10% revenue growth</w:t>
      </w:r>
      <w:r>
        <w:t xml:space="preserve"> </w:t>
      </w:r>
      <w:r>
        <w:t xml:space="preserve">and</w:t>
      </w:r>
      <w:r>
        <w:t xml:space="preserve"> </w:t>
      </w:r>
      <w:r>
        <w:rPr>
          <w:b/>
          <w:bCs/>
        </w:rPr>
        <w:t xml:space="preserve">30% EPS growth</w:t>
      </w:r>
      <w:r>
        <w:t xml:space="preserve"> </w:t>
      </w:r>
      <w:r>
        <w:t xml:space="preserve">versus 2Q25. The market will likely require a clear beat</w:t>
      </w:r>
      <w:r>
        <w:t xml:space="preserve"> </w:t>
      </w:r>
      <w:r>
        <w:rPr>
          <w:i/>
          <w:iCs/>
        </w:rPr>
        <w:t xml:space="preserve">and</w:t>
      </w:r>
      <w:r>
        <w:t xml:space="preserve"> </w:t>
      </w:r>
      <w:r>
        <w:t xml:space="preserve">constructive commentary on the banking pipeline, trading durability, credit, expenses, and buybacks.</w:t>
      </w:r>
    </w:p>
    <w:p>
      <w:pPr>
        <w:pStyle w:val="BodyText"/>
      </w:pPr>
      <w:r>
        <w:t xml:space="preserve">At the July 13 close of</w:t>
      </w:r>
      <w:r>
        <w:t xml:space="preserve"> </w:t>
      </w:r>
      <w:r>
        <w:rPr>
          <w:b/>
          <w:bCs/>
        </w:rPr>
        <w:t xml:space="preserve">$1,045.95</w:t>
      </w:r>
      <w:r>
        <w:t xml:space="preserve">, GS was up about</w:t>
      </w:r>
      <w:r>
        <w:t xml:space="preserve"> </w:t>
      </w:r>
      <w:r>
        <w:rPr>
          <w:b/>
          <w:bCs/>
        </w:rPr>
        <w:t xml:space="preserve">14% year to date</w:t>
      </w:r>
      <w:r>
        <w:t xml:space="preserve">, though roughly</w:t>
      </w:r>
      <w:r>
        <w:t xml:space="preserve"> </w:t>
      </w:r>
      <w:r>
        <w:rPr>
          <w:b/>
          <w:bCs/>
        </w:rPr>
        <w:t xml:space="preserve">5% below</w:t>
      </w:r>
      <w:r>
        <w:t xml:space="preserve"> </w:t>
      </w:r>
      <w:r>
        <w:t xml:space="preserve">its June high. Against 1Q26 book value per share of $361.19, the stock trades at roughly</w:t>
      </w:r>
      <w:r>
        <w:t xml:space="preserve"> </w:t>
      </w:r>
      <w:r>
        <w:rPr>
          <w:b/>
          <w:bCs/>
        </w:rPr>
        <w:t xml:space="preserve">2.90x book value</w:t>
      </w:r>
      <w:r>
        <w:t xml:space="preserve">.</w:t>
      </w:r>
    </w:p>
    <w:p>
      <w:r>
        <w:pict>
          <v:rect style="width:0;height:1.5pt" o:hralign="center" o:hrstd="t" o:hr="t"/>
        </w:pict>
      </w:r>
    </w:p>
    <w:bookmarkEnd w:id="9"/>
    <w:bookmarkStart w:id="10" w:name="the-numbers-that-matter"/>
    <w:p>
      <w:pPr>
        <w:pStyle w:val="Heading2"/>
      </w:pPr>
      <w:r>
        <w:t xml:space="preserve">The numbers that matter</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Metric</w:t>
            </w:r>
          </w:p>
        </w:tc>
        <w:tc>
          <w:tcPr/>
          <w:p>
            <w:pPr>
              <w:pStyle w:val="Compact"/>
              <w:jc w:val="right"/>
            </w:pPr>
            <w:r>
              <w:t xml:space="preserve">2Q26 consensus</w:t>
            </w:r>
          </w:p>
        </w:tc>
        <w:tc>
          <w:tcPr/>
          <w:p>
            <w:pPr>
              <w:pStyle w:val="Compact"/>
              <w:jc w:val="right"/>
            </w:pPr>
            <w:r>
              <w:t xml:space="preserve">2Q25 actual</w:t>
            </w:r>
          </w:p>
        </w:tc>
        <w:tc>
          <w:tcPr/>
          <w:p>
            <w:pPr>
              <w:pStyle w:val="Compact"/>
              <w:jc w:val="right"/>
            </w:pPr>
            <w:r>
              <w:t xml:space="preserve">1Q26 actual</w:t>
            </w:r>
          </w:p>
        </w:tc>
        <w:tc>
          <w:tcPr/>
          <w:p>
            <w:pPr>
              <w:pStyle w:val="Compact"/>
            </w:pPr>
            <w:r>
              <w:t xml:space="preserve">Read-through</w:t>
            </w:r>
          </w:p>
        </w:tc>
      </w:tr>
      <w:tr>
        <w:tc>
          <w:tcPr/>
          <w:p>
            <w:pPr>
              <w:pStyle w:val="Compact"/>
            </w:pPr>
            <w:r>
              <w:t xml:space="preserve">Total revenue</w:t>
            </w:r>
          </w:p>
        </w:tc>
        <w:tc>
          <w:tcPr/>
          <w:p>
            <w:pPr>
              <w:pStyle w:val="Compact"/>
              <w:jc w:val="right"/>
            </w:pPr>
            <w:r>
              <w:rPr>
                <w:b/>
                <w:bCs/>
              </w:rPr>
              <w:t xml:space="preserve">$16.04B</w:t>
            </w:r>
          </w:p>
        </w:tc>
        <w:tc>
          <w:tcPr/>
          <w:p>
            <w:pPr>
              <w:pStyle w:val="Compact"/>
              <w:jc w:val="right"/>
            </w:pPr>
            <w:r>
              <w:t xml:space="preserve">$14.58B</w:t>
            </w:r>
          </w:p>
        </w:tc>
        <w:tc>
          <w:tcPr/>
          <w:p>
            <w:pPr>
              <w:pStyle w:val="Compact"/>
              <w:jc w:val="right"/>
            </w:pPr>
            <w:r>
              <w:t xml:space="preserve">$17.23B</w:t>
            </w:r>
          </w:p>
        </w:tc>
        <w:tc>
          <w:tcPr/>
          <w:p>
            <w:pPr>
              <w:pStyle w:val="Compact"/>
            </w:pPr>
            <w:r>
              <w:t xml:space="preserve">Strong year-over-year growth is expected; normal sequential decline from a seasonally and activity-rich 1Q is acceptable.</w:t>
            </w:r>
          </w:p>
        </w:tc>
      </w:tr>
      <w:tr>
        <w:tc>
          <w:tcPr/>
          <w:p>
            <w:pPr>
              <w:pStyle w:val="Compact"/>
            </w:pPr>
            <w:r>
              <w:t xml:space="preserve">Diluted EPS</w:t>
            </w:r>
          </w:p>
        </w:tc>
        <w:tc>
          <w:tcPr/>
          <w:p>
            <w:pPr>
              <w:pStyle w:val="Compact"/>
              <w:jc w:val="right"/>
            </w:pPr>
            <w:r>
              <w:rPr>
                <w:b/>
                <w:bCs/>
              </w:rPr>
              <w:t xml:space="preserve">$14.15</w:t>
            </w:r>
          </w:p>
        </w:tc>
        <w:tc>
          <w:tcPr/>
          <w:p>
            <w:pPr>
              <w:pStyle w:val="Compact"/>
              <w:jc w:val="right"/>
            </w:pPr>
            <w:r>
              <w:t xml:space="preserve">$10.91</w:t>
            </w:r>
          </w:p>
        </w:tc>
        <w:tc>
          <w:tcPr/>
          <w:p>
            <w:pPr>
              <w:pStyle w:val="Compact"/>
              <w:jc w:val="right"/>
            </w:pPr>
            <w:r>
              <w:t xml:space="preserve">$17.55</w:t>
            </w:r>
          </w:p>
        </w:tc>
        <w:tc>
          <w:tcPr/>
          <w:p>
            <w:pPr>
              <w:pStyle w:val="Compact"/>
            </w:pPr>
            <w:r>
              <w:t xml:space="preserve">1Q26 included a large tax benefit; investors should focus more on pre-tax income, tax normalization, and return metrics than on sequential EPS.</w:t>
            </w:r>
          </w:p>
        </w:tc>
      </w:tr>
      <w:tr>
        <w:tc>
          <w:tcPr/>
          <w:p>
            <w:pPr>
              <w:pStyle w:val="Compact"/>
            </w:pPr>
            <w:r>
              <w:t xml:space="preserve">Investment-banking fees</w:t>
            </w:r>
          </w:p>
        </w:tc>
        <w:tc>
          <w:tcPr/>
          <w:p>
            <w:pPr>
              <w:pStyle w:val="Compact"/>
              <w:jc w:val="right"/>
            </w:pPr>
            <w:r>
              <w:rPr>
                <w:b/>
                <w:bCs/>
              </w:rPr>
              <w:t xml:space="preserve">$2.75B</w:t>
            </w:r>
          </w:p>
        </w:tc>
        <w:tc>
          <w:tcPr/>
          <w:p>
            <w:pPr>
              <w:pStyle w:val="Compact"/>
              <w:jc w:val="right"/>
            </w:pPr>
            <w:r>
              <w:t xml:space="preserve">$2.19B</w:t>
            </w:r>
          </w:p>
        </w:tc>
        <w:tc>
          <w:tcPr/>
          <w:p>
            <w:pPr>
              <w:pStyle w:val="Compact"/>
              <w:jc w:val="right"/>
            </w:pPr>
            <w:r>
              <w:t xml:space="preserve">$2.84B</w:t>
            </w:r>
          </w:p>
        </w:tc>
        <w:tc>
          <w:tcPr/>
          <w:p>
            <w:pPr>
              <w:pStyle w:val="Compact"/>
            </w:pPr>
            <w:r>
              <w:t xml:space="preserve">The key fundamental catalyst: advisory execution, underwriting recovery, and backlog conversion.</w:t>
            </w:r>
          </w:p>
        </w:tc>
      </w:tr>
      <w:tr>
        <w:tc>
          <w:tcPr/>
          <w:p>
            <w:pPr>
              <w:pStyle w:val="Compact"/>
            </w:pPr>
            <w:r>
              <w:t xml:space="preserve">FICC</w:t>
            </w:r>
          </w:p>
        </w:tc>
        <w:tc>
          <w:tcPr/>
          <w:p>
            <w:pPr>
              <w:pStyle w:val="Compact"/>
              <w:jc w:val="right"/>
            </w:pPr>
            <w:r>
              <w:rPr>
                <w:b/>
                <w:bCs/>
              </w:rPr>
              <w:t xml:space="preserve">$3.67B</w:t>
            </w:r>
          </w:p>
        </w:tc>
        <w:tc>
          <w:tcPr/>
          <w:p>
            <w:pPr>
              <w:pStyle w:val="Compact"/>
              <w:jc w:val="right"/>
            </w:pPr>
            <w:r>
              <w:t xml:space="preserve">$3.47B</w:t>
            </w:r>
          </w:p>
        </w:tc>
        <w:tc>
          <w:tcPr/>
          <w:p>
            <w:pPr>
              <w:pStyle w:val="Compact"/>
              <w:jc w:val="right"/>
            </w:pPr>
            <w:r>
              <w:t xml:space="preserve">$4.01B</w:t>
            </w:r>
          </w:p>
        </w:tc>
        <w:tc>
          <w:tcPr/>
          <w:p>
            <w:pPr>
              <w:pStyle w:val="Compact"/>
            </w:pPr>
            <w:r>
              <w:t xml:space="preserve">Volatility should help, but the mix between commodities/currencies and rates/mortgages will matter.</w:t>
            </w:r>
          </w:p>
        </w:tc>
      </w:tr>
      <w:tr>
        <w:tc>
          <w:tcPr/>
          <w:p>
            <w:pPr>
              <w:pStyle w:val="Compact"/>
            </w:pPr>
            <w:r>
              <w:t xml:space="preserve">Equities</w:t>
            </w:r>
          </w:p>
        </w:tc>
        <w:tc>
          <w:tcPr/>
          <w:p>
            <w:pPr>
              <w:pStyle w:val="Compact"/>
              <w:jc w:val="right"/>
            </w:pPr>
            <w:r>
              <w:rPr>
                <w:b/>
                <w:bCs/>
              </w:rPr>
              <w:t xml:space="preserve">$4.90B</w:t>
            </w:r>
          </w:p>
        </w:tc>
        <w:tc>
          <w:tcPr/>
          <w:p>
            <w:pPr>
              <w:pStyle w:val="Compact"/>
              <w:jc w:val="right"/>
            </w:pPr>
            <w:r>
              <w:t xml:space="preserve">$4.30B</w:t>
            </w:r>
          </w:p>
        </w:tc>
        <w:tc>
          <w:tcPr/>
          <w:p>
            <w:pPr>
              <w:pStyle w:val="Compact"/>
              <w:jc w:val="right"/>
            </w:pPr>
            <w:r>
              <w:t xml:space="preserve">$5.33B</w:t>
            </w:r>
          </w:p>
        </w:tc>
        <w:tc>
          <w:tcPr/>
          <w:p>
            <w:pPr>
              <w:pStyle w:val="Compact"/>
            </w:pPr>
            <w:r>
              <w:t xml:space="preserve">A high bar, with particular attention on financing and prime-brokerage balances.</w:t>
            </w:r>
          </w:p>
        </w:tc>
      </w:tr>
    </w:tbl>
    <w:p>
      <w:pPr>
        <w:pStyle w:val="BodyText"/>
      </w:pPr>
      <w:r>
        <w:rPr>
          <w:i/>
          <w:iCs/>
        </w:rPr>
        <w:t xml:space="preserve">Consensus figures reflect market expectations reported ahead of earnings on July 10, 2026.</w:t>
      </w:r>
    </w:p>
    <w:p>
      <w:r>
        <w:pict>
          <v:rect style="width:0;height:1.5pt" o:hralign="center" o:hrstd="t" o:hr="t"/>
        </w:pict>
      </w:r>
    </w:p>
    <w:bookmarkEnd w:id="10"/>
    <w:bookmarkStart w:id="14" w:name="X72c56c5e6b35a7e1eab221ee03194ff80aae9b4"/>
    <w:p>
      <w:pPr>
        <w:pStyle w:val="Heading2"/>
      </w:pPr>
      <w:r>
        <w:t xml:space="preserve">The central earnings question: can Goldman clear an elevated bar?</w:t>
      </w:r>
    </w:p>
    <w:bookmarkStart w:id="11" w:name="Xe57f45f1da9456d71419213243e006a4c89614b"/>
    <w:p>
      <w:pPr>
        <w:pStyle w:val="Heading3"/>
      </w:pPr>
      <w:r>
        <w:t xml:space="preserve">1. Investment banking should be the cleanest upside lever</w:t>
      </w:r>
    </w:p>
    <w:p>
      <w:pPr>
        <w:pStyle w:val="FirstParagraph"/>
      </w:pPr>
      <w:r>
        <w:t xml:space="preserve">The strongest bullish element is the advisory and capital-markets setup. In 1Q26, investment-banking fees were</w:t>
      </w:r>
      <w:r>
        <w:t xml:space="preserve"> </w:t>
      </w:r>
      <w:r>
        <w:rPr>
          <w:b/>
          <w:bCs/>
        </w:rPr>
        <w:t xml:space="preserve">$2.84 billion</w:t>
      </w:r>
      <w:r>
        <w:t xml:space="preserve">, up</w:t>
      </w:r>
      <w:r>
        <w:t xml:space="preserve"> </w:t>
      </w:r>
      <w:r>
        <w:rPr>
          <w:b/>
          <w:bCs/>
        </w:rPr>
        <w:t xml:space="preserve">48% year over year</w:t>
      </w:r>
      <w:r>
        <w:t xml:space="preserve">, with advisory up</w:t>
      </w:r>
      <w:r>
        <w:t xml:space="preserve"> </w:t>
      </w:r>
      <w:r>
        <w:rPr>
          <w:b/>
          <w:bCs/>
        </w:rPr>
        <w:t xml:space="preserve">89%</w:t>
      </w:r>
      <w:r>
        <w:t xml:space="preserve">. Management said the fee backlog decreased only slightly despite exceptionally strong revenue realization, and characterized the quarter-end backlog as still “extraordinarily robust.”</w:t>
      </w:r>
    </w:p>
    <w:p>
      <w:pPr>
        <w:pStyle w:val="BodyText"/>
      </w:pPr>
      <w:r>
        <w:t xml:space="preserve">That backdrop supports the Street’s</w:t>
      </w:r>
      <w:r>
        <w:t xml:space="preserve"> </w:t>
      </w:r>
      <w:r>
        <w:rPr>
          <w:b/>
          <w:bCs/>
        </w:rPr>
        <w:t xml:space="preserve">$2.75 billion</w:t>
      </w:r>
      <w:r>
        <w:t xml:space="preserve"> </w:t>
      </w:r>
      <w:r>
        <w:t xml:space="preserve">2Q26 fee estimate. Key items:</w:t>
      </w:r>
    </w:p>
    <w:p>
      <w:pPr>
        <w:pStyle w:val="Compact"/>
        <w:numPr>
          <w:ilvl w:val="0"/>
          <w:numId w:val="1001"/>
        </w:numPr>
      </w:pPr>
      <w:r>
        <w:rPr>
          <w:b/>
          <w:bCs/>
        </w:rPr>
        <w:t xml:space="preserve">M&amp;A:</w:t>
      </w:r>
      <w:r>
        <w:t xml:space="preserve"> </w:t>
      </w:r>
      <w:r>
        <w:t xml:space="preserve">Goldman remains well positioned to benefit from corporate consolidation, AI-related strategic repositioning, and large-cap deal activity.</w:t>
      </w:r>
    </w:p>
    <w:p>
      <w:pPr>
        <w:pStyle w:val="Compact"/>
        <w:numPr>
          <w:ilvl w:val="0"/>
          <w:numId w:val="1001"/>
        </w:numPr>
      </w:pPr>
      <w:r>
        <w:rPr>
          <w:b/>
          <w:bCs/>
        </w:rPr>
        <w:t xml:space="preserve">Advisory conversion:</w:t>
      </w:r>
      <w:r>
        <w:t xml:space="preserve"> </w:t>
      </w:r>
      <w:r>
        <w:t xml:space="preserve">The most important near-term issue is whether announced and signed activity converted into completed transactions during the quarter.</w:t>
      </w:r>
    </w:p>
    <w:p>
      <w:pPr>
        <w:pStyle w:val="Compact"/>
        <w:numPr>
          <w:ilvl w:val="0"/>
          <w:numId w:val="1001"/>
        </w:numPr>
      </w:pPr>
      <w:r>
        <w:rPr>
          <w:b/>
          <w:bCs/>
        </w:rPr>
        <w:t xml:space="preserve">Equity underwriting / IPOs:</w:t>
      </w:r>
      <w:r>
        <w:t xml:space="preserve"> </w:t>
      </w:r>
      <w:r>
        <w:t xml:space="preserve">This is the more vulnerable component. Management indicated in April that IPO activity had slowed amid geopolitical uncertainty, despite a full pipeline.</w:t>
      </w:r>
    </w:p>
    <w:p>
      <w:pPr>
        <w:pStyle w:val="Compact"/>
        <w:numPr>
          <w:ilvl w:val="0"/>
          <w:numId w:val="1001"/>
        </w:numPr>
      </w:pPr>
      <w:r>
        <w:rPr>
          <w:b/>
          <w:bCs/>
        </w:rPr>
        <w:t xml:space="preserve">Sponsor activity:</w:t>
      </w:r>
      <w:r>
        <w:t xml:space="preserve"> </w:t>
      </w:r>
      <w:r>
        <w:t xml:space="preserve">Private-equity exits remain a deferred upside opportunity rather than a necessary condition for a strong quarter. Goldman produced record Global Banking &amp; Markets revenue in 1Q despite muted sponsor monetization.</w:t>
      </w:r>
    </w:p>
    <w:p>
      <w:pPr>
        <w:pStyle w:val="FirstParagraph"/>
      </w:pPr>
      <w:r>
        <w:rPr>
          <w:b/>
          <w:bCs/>
        </w:rPr>
        <w:t xml:space="preserve">What would matter most:</w:t>
      </w:r>
      <w:r>
        <w:t xml:space="preserve"> </w:t>
      </w:r>
      <w:r>
        <w:t xml:space="preserve">a beat in advisory and evidence that backlog remains stable or grows after revenue recognition. A cautious outlook on IPOs or sponsor exits would be a more meaningful negative than a modest miss in underwriting revenue.</w:t>
      </w:r>
    </w:p>
    <w:p>
      <w:r>
        <w:pict>
          <v:rect style="width:0;height:1.5pt" o:hralign="center" o:hrstd="t" o:hr="t"/>
        </w:pict>
      </w:r>
    </w:p>
    <w:bookmarkEnd w:id="11"/>
    <w:bookmarkStart w:id="12" w:name="Xb301965f536fe6ae65835ee7137b99dcd5b046d"/>
    <w:p>
      <w:pPr>
        <w:pStyle w:val="Heading3"/>
      </w:pPr>
      <w:r>
        <w:t xml:space="preserve">2. Trading revenue is likely strong—but the mix determines the quality</w:t>
      </w:r>
    </w:p>
    <w:p>
      <w:pPr>
        <w:pStyle w:val="FirstParagraph"/>
      </w:pPr>
      <w:r>
        <w:t xml:space="preserve">The quarter’s macro environment was favorable for client engagement: volatile rates, elevated energy prices, geopolitical uncertainty, shifting Fed expectations, and active equity markets. That generally supports Goldman’s market-making franchise.</w:t>
      </w:r>
    </w:p>
    <w:p>
      <w:pPr>
        <w:pStyle w:val="BodyText"/>
      </w:pPr>
      <w:r>
        <w:t xml:space="preserve">The Street expects:</w:t>
      </w:r>
    </w:p>
    <w:p>
      <w:pPr>
        <w:pStyle w:val="Compact"/>
        <w:numPr>
          <w:ilvl w:val="0"/>
          <w:numId w:val="1002"/>
        </w:numPr>
      </w:pPr>
      <w:r>
        <w:rPr>
          <w:b/>
          <w:bCs/>
        </w:rPr>
        <w:t xml:space="preserve">FICC:</w:t>
      </w:r>
      <w:r>
        <w:t xml:space="preserve"> </w:t>
      </w:r>
      <w:r>
        <w:t xml:space="preserve">$3.67 billion, up about 6% year over year.</w:t>
      </w:r>
    </w:p>
    <w:p>
      <w:pPr>
        <w:pStyle w:val="Compact"/>
        <w:numPr>
          <w:ilvl w:val="0"/>
          <w:numId w:val="1002"/>
        </w:numPr>
      </w:pPr>
      <w:r>
        <w:rPr>
          <w:b/>
          <w:bCs/>
        </w:rPr>
        <w:t xml:space="preserve">Equities:</w:t>
      </w:r>
      <w:r>
        <w:t xml:space="preserve"> </w:t>
      </w:r>
      <w:r>
        <w:t xml:space="preserve">$4.90 billion, up about 14% year over year.</w:t>
      </w:r>
    </w:p>
    <w:p>
      <w:pPr>
        <w:pStyle w:val="FirstParagraph"/>
      </w:pPr>
      <w:r>
        <w:t xml:space="preserve">The key issue is not simply whether trading revenues rise; it is whether Goldman can sustain the high-return businesses that have powered the stock’s rerating:</w:t>
      </w:r>
    </w:p>
    <w:p>
      <w:pPr>
        <w:pStyle w:val="Compact"/>
        <w:numPr>
          <w:ilvl w:val="0"/>
          <w:numId w:val="1003"/>
        </w:numPr>
      </w:pPr>
      <w:r>
        <w:rPr>
          <w:b/>
          <w:bCs/>
        </w:rPr>
        <w:t xml:space="preserve">Equities financing / prime brokerage:</w:t>
      </w:r>
      <w:r>
        <w:t xml:space="preserve"> </w:t>
      </w:r>
      <w:r>
        <w:t xml:space="preserve">This was the standout in 1Q, when equities financing rose</w:t>
      </w:r>
      <w:r>
        <w:t xml:space="preserve"> </w:t>
      </w:r>
      <w:r>
        <w:rPr>
          <w:b/>
          <w:bCs/>
        </w:rPr>
        <w:t xml:space="preserve">59% year over year</w:t>
      </w:r>
      <w:r>
        <w:t xml:space="preserve"> </w:t>
      </w:r>
      <w:r>
        <w:t xml:space="preserve">to a record</w:t>
      </w:r>
      <w:r>
        <w:t xml:space="preserve"> </w:t>
      </w:r>
      <w:r>
        <w:rPr>
          <w:b/>
          <w:bCs/>
        </w:rPr>
        <w:t xml:space="preserve">$2.61 billion</w:t>
      </w:r>
      <w:r>
        <w:t xml:space="preserve">. Goldman has intentionally deployed capital into prime financing, particularly in Asia. Sustained balances, healthy spreads, and disciplined risk usage would reinforce the durability narrative.</w:t>
      </w:r>
    </w:p>
    <w:p>
      <w:pPr>
        <w:pStyle w:val="Compact"/>
        <w:numPr>
          <w:ilvl w:val="0"/>
          <w:numId w:val="1003"/>
        </w:numPr>
      </w:pPr>
      <w:r>
        <w:rPr>
          <w:b/>
          <w:bCs/>
        </w:rPr>
        <w:t xml:space="preserve">Equities intermediation:</w:t>
      </w:r>
      <w:r>
        <w:t xml:space="preserve"> </w:t>
      </w:r>
      <w:r>
        <w:t xml:space="preserve">Activity in cash equities and derivatives needs to remain healthy enough to support the elevated consensus level.</w:t>
      </w:r>
    </w:p>
    <w:p>
      <w:pPr>
        <w:pStyle w:val="Compact"/>
        <w:numPr>
          <w:ilvl w:val="0"/>
          <w:numId w:val="1003"/>
        </w:numPr>
      </w:pPr>
      <w:r>
        <w:rPr>
          <w:b/>
          <w:bCs/>
        </w:rPr>
        <w:t xml:space="preserve">FICC financing:</w:t>
      </w:r>
      <w:r>
        <w:t xml:space="preserve"> </w:t>
      </w:r>
      <w:r>
        <w:t xml:space="preserve">A growing, more recurring contributor that can offset variability in intermediation.</w:t>
      </w:r>
    </w:p>
    <w:p>
      <w:pPr>
        <w:pStyle w:val="Compact"/>
        <w:numPr>
          <w:ilvl w:val="0"/>
          <w:numId w:val="1003"/>
        </w:numPr>
      </w:pPr>
      <w:r>
        <w:rPr>
          <w:b/>
          <w:bCs/>
        </w:rPr>
        <w:t xml:space="preserve">FICC intermediation:</w:t>
      </w:r>
      <w:r>
        <w:t xml:space="preserve"> </w:t>
      </w:r>
      <w:r>
        <w:t xml:space="preserve">Commodity and currency activity should have been constructive, but rates, mortgages, and credit are less certain. Those businesses were weaker year over year in 1Q26.</w:t>
      </w:r>
    </w:p>
    <w:p>
      <w:pPr>
        <w:pStyle w:val="FirstParagraph"/>
      </w:pPr>
      <w:r>
        <w:t xml:space="preserve">A solid 2Q trading result may not be enough on its own. With GS shares having rerated sharply, investors are likely to scrutinize whether trading gains reflect durable share, financing balances, and franchise momentum—or a favorable but temporary volatility backdrop.</w:t>
      </w:r>
    </w:p>
    <w:p>
      <w:r>
        <w:pict>
          <v:rect style="width:0;height:1.5pt" o:hralign="center" o:hrstd="t" o:hr="t"/>
        </w:pict>
      </w:r>
    </w:p>
    <w:bookmarkEnd w:id="12"/>
    <w:bookmarkStart w:id="13" w:name="Xc91abf1697ea58621575815131bb4c315985d26"/>
    <w:p>
      <w:pPr>
        <w:pStyle w:val="Heading3"/>
      </w:pPr>
      <w:r>
        <w:t xml:space="preserve">3. Asset &amp; Wealth Management is becoming more strategically important</w:t>
      </w:r>
    </w:p>
    <w:p>
      <w:pPr>
        <w:pStyle w:val="FirstParagraph"/>
      </w:pPr>
      <w:r>
        <w:t xml:space="preserve">Asset &amp; Wealth Management remains the stabilizer and long-duration growth engine:</w:t>
      </w:r>
    </w:p>
    <w:p>
      <w:pPr>
        <w:pStyle w:val="Compact"/>
        <w:numPr>
          <w:ilvl w:val="0"/>
          <w:numId w:val="1004"/>
        </w:numPr>
      </w:pPr>
      <w:r>
        <w:t xml:space="preserve">1Q26 assets under supervision ended at a record</w:t>
      </w:r>
      <w:r>
        <w:t xml:space="preserve"> </w:t>
      </w:r>
      <w:r>
        <w:rPr>
          <w:b/>
          <w:bCs/>
        </w:rPr>
        <w:t xml:space="preserve">$3.65 trillion</w:t>
      </w:r>
      <w:r>
        <w:t xml:space="preserve">.</w:t>
      </w:r>
    </w:p>
    <w:p>
      <w:pPr>
        <w:pStyle w:val="Compact"/>
        <w:numPr>
          <w:ilvl w:val="0"/>
          <w:numId w:val="1004"/>
        </w:numPr>
      </w:pPr>
      <w:r>
        <w:t xml:space="preserve">Long-term net inflows were</w:t>
      </w:r>
      <w:r>
        <w:t xml:space="preserve"> </w:t>
      </w:r>
      <w:r>
        <w:rPr>
          <w:b/>
          <w:bCs/>
        </w:rPr>
        <w:t xml:space="preserve">$62 billion</w:t>
      </w:r>
      <w:r>
        <w:t xml:space="preserve">, representing the firm’s 33rd consecutive quarter of long-term fee-based inflows.</w:t>
      </w:r>
    </w:p>
    <w:p>
      <w:pPr>
        <w:pStyle w:val="Compact"/>
        <w:numPr>
          <w:ilvl w:val="0"/>
          <w:numId w:val="1004"/>
        </w:numPr>
      </w:pPr>
      <w:r>
        <w:t xml:space="preserve">Alternative assets under supervision were</w:t>
      </w:r>
      <w:r>
        <w:t xml:space="preserve"> </w:t>
      </w:r>
      <w:r>
        <w:rPr>
          <w:b/>
          <w:bCs/>
        </w:rPr>
        <w:t xml:space="preserve">$429 billion</w:t>
      </w:r>
      <w:r>
        <w:t xml:space="preserve">.</w:t>
      </w:r>
    </w:p>
    <w:p>
      <w:pPr>
        <w:pStyle w:val="Compact"/>
        <w:numPr>
          <w:ilvl w:val="0"/>
          <w:numId w:val="1004"/>
        </w:numPr>
      </w:pPr>
      <w:r>
        <w:t xml:space="preserve">Goldman raised</w:t>
      </w:r>
      <w:r>
        <w:t xml:space="preserve"> </w:t>
      </w:r>
      <m:oMath>
        <m:r>
          <m:t>26</m:t>
        </m:r>
        <m:r>
          <m:t>b</m:t>
        </m:r>
        <m:r>
          <m:t>i</m:t>
        </m:r>
        <m:r>
          <m:t>l</m:t>
        </m:r>
        <m:r>
          <m:t>l</m:t>
        </m:r>
        <m:r>
          <m:t>i</m:t>
        </m:r>
        <m:r>
          <m:t>o</m:t>
        </m:r>
        <m:r>
          <m:t>n</m:t>
        </m:r>
        <m:r>
          <m:rPr>
            <m:sty m:val="p"/>
          </m:rPr>
          <m:t>*</m:t>
        </m:r>
        <m:r>
          <m:rPr>
            <m:sty m:val="p"/>
          </m:rPr>
          <m:t>*</m:t>
        </m:r>
        <m:r>
          <m:t>a</m:t>
        </m:r>
        <m:r>
          <m:t>c</m:t>
        </m:r>
        <m:r>
          <m:t>r</m:t>
        </m:r>
        <m:r>
          <m:t>o</m:t>
        </m:r>
        <m:r>
          <m:t>s</m:t>
        </m:r>
        <m:r>
          <m:t>s</m:t>
        </m:r>
        <m:r>
          <m:t>a</m:t>
        </m:r>
        <m:r>
          <m:t>l</m:t>
        </m:r>
        <m:r>
          <m:t>t</m:t>
        </m:r>
        <m:r>
          <m:t>e</m:t>
        </m:r>
        <m:r>
          <m:t>r</m:t>
        </m:r>
        <m:r>
          <m:t>n</m:t>
        </m:r>
        <m:r>
          <m:t>a</m:t>
        </m:r>
        <m:r>
          <m:t>t</m:t>
        </m:r>
        <m:r>
          <m:t>i</m:t>
        </m:r>
        <m:r>
          <m:t>v</m:t>
        </m:r>
        <m:r>
          <m:t>e</m:t>
        </m:r>
        <m:r>
          <m:t>s</m:t>
        </m:r>
        <m:r>
          <m:t>i</m:t>
        </m:r>
        <m:r>
          <m:t>n</m:t>
        </m:r>
        <m:r>
          <m:t>1</m:t>
        </m:r>
        <m:r>
          <m:t>Q</m:t>
        </m:r>
        <m:r>
          <m:rPr>
            <m:sty m:val="p"/>
          </m:rPr>
          <m:t>,</m:t>
        </m:r>
        <m:r>
          <m:t>i</m:t>
        </m:r>
        <m:r>
          <m:t>n</m:t>
        </m:r>
        <m:r>
          <m:t>c</m:t>
        </m:r>
        <m:r>
          <m:t>l</m:t>
        </m:r>
        <m:r>
          <m:t>u</m:t>
        </m:r>
        <m:r>
          <m:t>d</m:t>
        </m:r>
        <m:r>
          <m:t>i</m:t>
        </m:r>
        <m:r>
          <m:t>n</m:t>
        </m:r>
        <m:r>
          <m:t>g</m:t>
        </m:r>
        <m:r>
          <m:rPr>
            <m:sty m:val="p"/>
          </m:rPr>
          <m:t>*</m:t>
        </m:r>
        <m:r>
          <m:rPr>
            <m:sty m:val="p"/>
          </m:rPr>
          <m:t>*</m:t>
        </m:r>
      </m:oMath>
      <w:r>
        <w:rPr>
          <w:b/>
          <w:bCs/>
        </w:rPr>
        <w:t xml:space="preserve">10 billion</w:t>
      </w:r>
      <w:r>
        <w:t xml:space="preserve"> </w:t>
      </w:r>
      <w:r>
        <w:t xml:space="preserve">in private credit.</w:t>
      </w:r>
    </w:p>
    <w:p>
      <w:pPr>
        <w:pStyle w:val="FirstParagraph"/>
      </w:pPr>
      <w:r>
        <w:t xml:space="preserve">The near-term positives include higher average assets, fee-based inflows, the closed Innovator acquisition, and recently announced retirement-asset mandates with Verizon and Lockheed Martin. The latter is strategically important for Goldman’s effort to scale institutional retirement and asset-management capabilities, though its financial contribution may be more meaningful in future periods than in 2Q results.</w:t>
      </w:r>
    </w:p>
    <w:p>
      <w:pPr>
        <w:pStyle w:val="BodyText"/>
      </w:pPr>
      <w:r>
        <w:t xml:space="preserve">The offset remains</w:t>
      </w:r>
      <w:r>
        <w:t xml:space="preserve"> </w:t>
      </w:r>
      <w:r>
        <w:rPr>
          <w:b/>
          <w:bCs/>
        </w:rPr>
        <w:t xml:space="preserve">private banking and lending</w:t>
      </w:r>
      <w:r>
        <w:t xml:space="preserve">. Management has said deposit competition and associated net-interest-margin pressure should remain a headwind through much of 2026, even as lending balances grow. Accordingly, investors should distinguish between:</w:t>
      </w:r>
    </w:p>
    <w:p>
      <w:pPr>
        <w:pStyle w:val="Compact"/>
        <w:numPr>
          <w:ilvl w:val="0"/>
          <w:numId w:val="1005"/>
        </w:numPr>
      </w:pPr>
      <w:r>
        <w:t xml:space="preserve">durable management-fee growth,</w:t>
      </w:r>
    </w:p>
    <w:p>
      <w:pPr>
        <w:pStyle w:val="Compact"/>
        <w:numPr>
          <w:ilvl w:val="0"/>
          <w:numId w:val="1005"/>
        </w:numPr>
      </w:pPr>
      <w:r>
        <w:t xml:space="preserve">alternatives fundraising and fee realization,</w:t>
      </w:r>
    </w:p>
    <w:p>
      <w:pPr>
        <w:pStyle w:val="Compact"/>
        <w:numPr>
          <w:ilvl w:val="0"/>
          <w:numId w:val="1005"/>
        </w:numPr>
      </w:pPr>
      <w:r>
        <w:t xml:space="preserve">private-bank lending growth, and</w:t>
      </w:r>
    </w:p>
    <w:p>
      <w:pPr>
        <w:pStyle w:val="Compact"/>
        <w:numPr>
          <w:ilvl w:val="0"/>
          <w:numId w:val="1005"/>
        </w:numPr>
      </w:pPr>
      <w:r>
        <w:t xml:space="preserve">deposit-spread pressure.</w:t>
      </w:r>
    </w:p>
    <w:p>
      <w:r>
        <w:pict>
          <v:rect style="width:0;height:1.5pt" o:hralign="center" o:hrstd="t" o:hr="t"/>
        </w:pict>
      </w:r>
    </w:p>
    <w:bookmarkEnd w:id="13"/>
    <w:bookmarkEnd w:id="14"/>
    <w:bookmarkStart w:id="18" w:name="earnings-quality-watch-items"/>
    <w:p>
      <w:pPr>
        <w:pStyle w:val="Heading2"/>
      </w:pPr>
      <w:r>
        <w:t xml:space="preserve">Earnings-quality watch items</w:t>
      </w:r>
    </w:p>
    <w:bookmarkStart w:id="15" w:name="tax-normalization-is-essential"/>
    <w:p>
      <w:pPr>
        <w:pStyle w:val="Heading3"/>
      </w:pPr>
      <w:r>
        <w:t xml:space="preserve">Tax normalization is essential</w:t>
      </w:r>
    </w:p>
    <w:p>
      <w:pPr>
        <w:pStyle w:val="FirstParagraph"/>
      </w:pPr>
      <w:r>
        <w:t xml:space="preserve">Goldman’s 1Q26 EPS of</w:t>
      </w:r>
      <w:r>
        <w:t xml:space="preserve"> </w:t>
      </w:r>
      <m:oMath>
        <m:r>
          <m:t>17.55</m:t>
        </m:r>
        <m:r>
          <m:rPr>
            <m:sty m:val="p"/>
          </m:rPr>
          <m:t>*</m:t>
        </m:r>
        <m:r>
          <m:rPr>
            <m:sty m:val="p"/>
          </m:rPr>
          <m:t>*</m:t>
        </m:r>
        <m:r>
          <m:t>b</m:t>
        </m:r>
        <m:r>
          <m:t>e</m:t>
        </m:r>
        <m:r>
          <m:t>n</m:t>
        </m:r>
        <m:r>
          <m:t>e</m:t>
        </m:r>
        <m:r>
          <m:t>f</m:t>
        </m:r>
        <m:r>
          <m:t>i</m:t>
        </m:r>
        <m:r>
          <m:t>t</m:t>
        </m:r>
        <m:r>
          <m:t>e</m:t>
        </m:r>
        <m:r>
          <m:t>d</m:t>
        </m:r>
        <m:r>
          <m:t>f</m:t>
        </m:r>
        <m:r>
          <m:t>r</m:t>
        </m:r>
        <m:r>
          <m:t>o</m:t>
        </m:r>
        <m:r>
          <m:t>m</m:t>
        </m:r>
        <m:r>
          <m:t>a</m:t>
        </m:r>
        <m:r>
          <m:t>p</m:t>
        </m:r>
        <m:r>
          <m:t>p</m:t>
        </m:r>
        <m:r>
          <m:t>r</m:t>
        </m:r>
        <m:r>
          <m:t>o</m:t>
        </m:r>
        <m:r>
          <m:t>x</m:t>
        </m:r>
        <m:r>
          <m:t>i</m:t>
        </m:r>
        <m:r>
          <m:t>m</m:t>
        </m:r>
        <m:r>
          <m:t>a</m:t>
        </m:r>
        <m:r>
          <m:t>t</m:t>
        </m:r>
        <m:r>
          <m:t>e</m:t>
        </m:r>
        <m:r>
          <m:t>l</m:t>
        </m:r>
        <m:r>
          <m:t>y</m:t>
        </m:r>
        <m:r>
          <m:rPr>
            <m:sty m:val="p"/>
          </m:rPr>
          <m:t>*</m:t>
        </m:r>
        <m:r>
          <m:rPr>
            <m:sty m:val="p"/>
          </m:rPr>
          <m:t>*</m:t>
        </m:r>
      </m:oMath>
      <w:r>
        <w:rPr>
          <w:b/>
          <w:bCs/>
        </w:rPr>
        <w:t xml:space="preserve">895 million</w:t>
      </w:r>
      <w:r>
        <w:t xml:space="preserve"> </w:t>
      </w:r>
      <w:r>
        <w:t xml:space="preserve">of tax benefits tied to employee share-based awards, adding about</w:t>
      </w:r>
      <w:r>
        <w:t xml:space="preserve"> </w:t>
      </w:r>
      <w:r>
        <w:rPr>
          <w:b/>
          <w:bCs/>
        </w:rPr>
        <w:t xml:space="preserve">$2.91 per diluted share</w:t>
      </w:r>
      <w:r>
        <w:t xml:space="preserve">. Management’s full-year tax-rate expectation was approximately</w:t>
      </w:r>
      <w:r>
        <w:t xml:space="preserve"> </w:t>
      </w:r>
      <w:r>
        <w:rPr>
          <w:b/>
          <w:bCs/>
        </w:rPr>
        <w:t xml:space="preserve">20%</w:t>
      </w:r>
      <w:r>
        <w:t xml:space="preserve">.</w:t>
      </w:r>
    </w:p>
    <w:p>
      <w:pPr>
        <w:pStyle w:val="BodyText"/>
      </w:pPr>
      <w:r>
        <w:t xml:space="preserve">As a result, the apparent sequential decline from 1Q26 EPS to the 2Q26 consensus of $14.15 is not the right analytical frame. The market should focus on:</w:t>
      </w:r>
    </w:p>
    <w:p>
      <w:pPr>
        <w:pStyle w:val="Compact"/>
        <w:numPr>
          <w:ilvl w:val="0"/>
          <w:numId w:val="1006"/>
        </w:numPr>
      </w:pPr>
      <w:r>
        <w:t xml:space="preserve">pre-tax earnings;</w:t>
      </w:r>
    </w:p>
    <w:p>
      <w:pPr>
        <w:pStyle w:val="Compact"/>
        <w:numPr>
          <w:ilvl w:val="0"/>
          <w:numId w:val="1006"/>
        </w:numPr>
      </w:pPr>
      <w:r>
        <w:t xml:space="preserve">normalized effective tax rate;</w:t>
      </w:r>
    </w:p>
    <w:p>
      <w:pPr>
        <w:pStyle w:val="Compact"/>
        <w:numPr>
          <w:ilvl w:val="0"/>
          <w:numId w:val="1006"/>
        </w:numPr>
      </w:pPr>
      <w:r>
        <w:t xml:space="preserve">compensation ratio;</w:t>
      </w:r>
    </w:p>
    <w:p>
      <w:pPr>
        <w:pStyle w:val="Compact"/>
        <w:numPr>
          <w:ilvl w:val="0"/>
          <w:numId w:val="1006"/>
        </w:numPr>
      </w:pPr>
      <w:r>
        <w:t xml:space="preserve">return on equity / tangible equity; and</w:t>
      </w:r>
    </w:p>
    <w:p>
      <w:pPr>
        <w:pStyle w:val="Compact"/>
        <w:numPr>
          <w:ilvl w:val="0"/>
          <w:numId w:val="1006"/>
        </w:numPr>
      </w:pPr>
      <w:r>
        <w:t xml:space="preserve">the sustainability of segment revenues.</w:t>
      </w:r>
    </w:p>
    <w:bookmarkEnd w:id="15"/>
    <w:bookmarkStart w:id="16" w:name="X3731f1d8253d43b7707e74d32ee7e621086b307"/>
    <w:p>
      <w:pPr>
        <w:pStyle w:val="Heading3"/>
      </w:pPr>
      <w:r>
        <w:t xml:space="preserve">Expenses: progress toward 60% efficiency versus investment needs</w:t>
      </w:r>
    </w:p>
    <w:p>
      <w:pPr>
        <w:pStyle w:val="FirstParagraph"/>
      </w:pPr>
      <w:r>
        <w:t xml:space="preserve">Goldman posted a</w:t>
      </w:r>
      <w:r>
        <w:t xml:space="preserve"> </w:t>
      </w:r>
      <w:r>
        <w:rPr>
          <w:b/>
          <w:bCs/>
        </w:rPr>
        <w:t xml:space="preserve">60.5%</w:t>
      </w:r>
      <w:r>
        <w:t xml:space="preserve"> </w:t>
      </w:r>
      <w:r>
        <w:t xml:space="preserve">efficiency ratio in 1Q26 and continues to target roughly</w:t>
      </w:r>
      <w:r>
        <w:t xml:space="preserve"> </w:t>
      </w:r>
      <w:r>
        <w:rPr>
          <w:b/>
          <w:bCs/>
        </w:rPr>
        <w:t xml:space="preserve">60%</w:t>
      </w:r>
      <w:r>
        <w:t xml:space="preserve">. Yet the firm is also accelerating spending on cloud migration, data infrastructure, cyber resilience, and AI enablement.</w:t>
      </w:r>
    </w:p>
    <w:p>
      <w:pPr>
        <w:pStyle w:val="BodyText"/>
      </w:pPr>
      <w:r>
        <w:t xml:space="preserve">The constructive outcome is one in which higher transaction expenses are clearly tied to revenue-producing activity, while underlying unit costs and non-compensation expenses remain controlled. A material expense surprise, especially if accompanied by merely in-line markets revenues, would be a risk to the stock.</w:t>
      </w:r>
    </w:p>
    <w:bookmarkEnd w:id="16"/>
    <w:bookmarkStart w:id="17" w:name="X67c3707a72dd4f024bcde9add1eced7d332477e"/>
    <w:p>
      <w:pPr>
        <w:pStyle w:val="Heading3"/>
      </w:pPr>
      <w:r>
        <w:t xml:space="preserve">Credit and private credit: likely more important than headline provisions</w:t>
      </w:r>
    </w:p>
    <w:p>
      <w:pPr>
        <w:pStyle w:val="FirstParagraph"/>
      </w:pPr>
      <w:r>
        <w:t xml:space="preserve">1Q26 provisions were</w:t>
      </w:r>
      <w:r>
        <w:t xml:space="preserve"> </w:t>
      </w:r>
      <w:r>
        <w:rPr>
          <w:b/>
          <w:bCs/>
        </w:rPr>
        <w:t xml:space="preserve">$315 million</w:t>
      </w:r>
      <w:r>
        <w:t xml:space="preserve">, reflecting loan growth, several small impairments, and reserve calibration for the operating environment. Management stressed that the provision did not stem from defaults in its FICC-financing or private-credit exposures.</w:t>
      </w:r>
    </w:p>
    <w:p>
      <w:pPr>
        <w:pStyle w:val="BodyText"/>
      </w:pPr>
      <w:r>
        <w:t xml:space="preserve">The private-credit narrative is likely to remain a focal point. Recent evidence has been supportive: Goldman’s private-credit vehicle reportedly received redemption requests for only 3% of shares in the June quarter, below its standard 5% quarterly cap, and management has emphasized the institutional orientation and diversification of the platform.</w:t>
      </w:r>
    </w:p>
    <w:p>
      <w:pPr>
        <w:pStyle w:val="BodyText"/>
      </w:pPr>
      <w:r>
        <w:t xml:space="preserve">Still, investors should watch for:</w:t>
      </w:r>
    </w:p>
    <w:p>
      <w:pPr>
        <w:pStyle w:val="Compact"/>
        <w:numPr>
          <w:ilvl w:val="0"/>
          <w:numId w:val="1007"/>
        </w:numPr>
      </w:pPr>
      <w:r>
        <w:t xml:space="preserve">higher provisions or impairments;</w:t>
      </w:r>
    </w:p>
    <w:p>
      <w:pPr>
        <w:pStyle w:val="Compact"/>
        <w:numPr>
          <w:ilvl w:val="0"/>
          <w:numId w:val="1007"/>
        </w:numPr>
      </w:pPr>
      <w:r>
        <w:t xml:space="preserve">risk-rating migration;</w:t>
      </w:r>
    </w:p>
    <w:p>
      <w:pPr>
        <w:pStyle w:val="Compact"/>
        <w:numPr>
          <w:ilvl w:val="0"/>
          <w:numId w:val="1007"/>
        </w:numPr>
      </w:pPr>
      <w:r>
        <w:t xml:space="preserve">commentary on private-credit marks and fundraising;</w:t>
      </w:r>
    </w:p>
    <w:p>
      <w:pPr>
        <w:pStyle w:val="Compact"/>
        <w:numPr>
          <w:ilvl w:val="0"/>
          <w:numId w:val="1007"/>
        </w:numPr>
      </w:pPr>
      <w:r>
        <w:t xml:space="preserve">any deterioration in financing collateral or structured-credit exposures; and</w:t>
      </w:r>
    </w:p>
    <w:p>
      <w:pPr>
        <w:pStyle w:val="Compact"/>
        <w:numPr>
          <w:ilvl w:val="0"/>
          <w:numId w:val="1007"/>
        </w:numPr>
      </w:pPr>
      <w:r>
        <w:t xml:space="preserve">whether heightened macro uncertainty changes management’s risk appetite.</w:t>
      </w:r>
    </w:p>
    <w:p>
      <w:r>
        <w:pict>
          <v:rect style="width:0;height:1.5pt" o:hralign="center" o:hrstd="t" o:hr="t"/>
        </w:pict>
      </w:r>
    </w:p>
    <w:bookmarkEnd w:id="17"/>
    <w:bookmarkEnd w:id="18"/>
    <w:bookmarkStart w:id="19" w:name="capital-deployment-a-major-swing-factor"/>
    <w:p>
      <w:pPr>
        <w:pStyle w:val="Heading2"/>
      </w:pPr>
      <w:r>
        <w:t xml:space="preserve">Capital deployment: a major swing factor</w:t>
      </w:r>
    </w:p>
    <w:p>
      <w:pPr>
        <w:pStyle w:val="FirstParagraph"/>
      </w:pPr>
      <w:r>
        <w:t xml:space="preserve">Goldman ended 1Q26 with a</w:t>
      </w:r>
      <w:r>
        <w:t xml:space="preserve"> </w:t>
      </w:r>
      <w:r>
        <w:rPr>
          <w:b/>
          <w:bCs/>
        </w:rPr>
        <w:t xml:space="preserve">12.5% standardized CET1 ratio</w:t>
      </w:r>
      <w:r>
        <w:t xml:space="preserve">, or approximately</w:t>
      </w:r>
      <w:r>
        <w:t xml:space="preserve"> </w:t>
      </w:r>
      <w:r>
        <w:rPr>
          <w:b/>
          <w:bCs/>
        </w:rPr>
        <w:t xml:space="preserve">110 basis points above</w:t>
      </w:r>
      <w:r>
        <w:t xml:space="preserve"> </w:t>
      </w:r>
      <w:r>
        <w:t xml:space="preserve">its stated requirement. During the quarter, it returned</w:t>
      </w:r>
      <w:r>
        <w:t xml:space="preserve"> </w:t>
      </w:r>
      <m:oMath>
        <m:r>
          <m:t>6.38</m:t>
        </m:r>
        <m:r>
          <m:t>b</m:t>
        </m:r>
        <m:r>
          <m:t>i</m:t>
        </m:r>
        <m:r>
          <m:t>l</m:t>
        </m:r>
        <m:r>
          <m:t>l</m:t>
        </m:r>
        <m:r>
          <m:t>i</m:t>
        </m:r>
        <m:r>
          <m:t>o</m:t>
        </m:r>
        <m:r>
          <m:t>n</m:t>
        </m:r>
        <m:r>
          <m:rPr>
            <m:sty m:val="p"/>
          </m:rPr>
          <m:t>*</m:t>
        </m:r>
        <m:r>
          <m:rPr>
            <m:sty m:val="p"/>
          </m:rPr>
          <m:t>*</m:t>
        </m:r>
        <m:r>
          <m:t>t</m:t>
        </m:r>
        <m:r>
          <m:t>o</m:t>
        </m:r>
        <m:r>
          <m:t>c</m:t>
        </m:r>
        <m:r>
          <m:t>o</m:t>
        </m:r>
        <m:r>
          <m:t>m</m:t>
        </m:r>
        <m:r>
          <m:t>m</m:t>
        </m:r>
        <m:r>
          <m:t>o</m:t>
        </m:r>
        <m:r>
          <m:t>n</m:t>
        </m:r>
        <m:r>
          <m:t>s</m:t>
        </m:r>
        <m:r>
          <m:t>h</m:t>
        </m:r>
        <m:r>
          <m:t>a</m:t>
        </m:r>
        <m:r>
          <m:t>r</m:t>
        </m:r>
        <m:r>
          <m:t>e</m:t>
        </m:r>
        <m:r>
          <m:t>h</m:t>
        </m:r>
        <m:r>
          <m:t>o</m:t>
        </m:r>
        <m:r>
          <m:t>l</m:t>
        </m:r>
        <m:r>
          <m:t>d</m:t>
        </m:r>
        <m:r>
          <m:t>e</m:t>
        </m:r>
        <m:r>
          <m:t>r</m:t>
        </m:r>
        <m:r>
          <m:t>s</m:t>
        </m:r>
        <m:r>
          <m:rPr>
            <m:sty m:val="p"/>
          </m:rPr>
          <m:t>,</m:t>
        </m:r>
        <m:r>
          <m:t>i</m:t>
        </m:r>
        <m:r>
          <m:t>n</m:t>
        </m:r>
        <m:r>
          <m:t>c</m:t>
        </m:r>
        <m:r>
          <m:t>l</m:t>
        </m:r>
        <m:r>
          <m:t>u</m:t>
        </m:r>
        <m:r>
          <m:t>d</m:t>
        </m:r>
        <m:r>
          <m:t>i</m:t>
        </m:r>
        <m:r>
          <m:t>n</m:t>
        </m:r>
        <m:r>
          <m:t>g</m:t>
        </m:r>
        <m:r>
          <m:t>a</m:t>
        </m:r>
        <m:r>
          <m:t>r</m:t>
        </m:r>
        <m:r>
          <m:t>e</m:t>
        </m:r>
        <m:r>
          <m:t>c</m:t>
        </m:r>
        <m:r>
          <m:t>o</m:t>
        </m:r>
        <m:r>
          <m:t>r</m:t>
        </m:r>
        <m:r>
          <m:t>d</m:t>
        </m:r>
        <m:r>
          <m:rPr>
            <m:sty m:val="p"/>
          </m:rPr>
          <m:t>*</m:t>
        </m:r>
        <m:r>
          <m:rPr>
            <m:sty m:val="p"/>
          </m:rPr>
          <m:t>*</m:t>
        </m:r>
      </m:oMath>
      <w:r>
        <w:rPr>
          <w:b/>
          <w:bCs/>
        </w:rPr>
        <w:t xml:space="preserve">5.0 billion</w:t>
      </w:r>
      <w:r>
        <w:t xml:space="preserve"> </w:t>
      </w:r>
      <w:r>
        <w:t xml:space="preserve">of share repurchases.</w:t>
      </w:r>
    </w:p>
    <w:p>
      <w:pPr>
        <w:pStyle w:val="BodyText"/>
      </w:pPr>
      <w:r>
        <w:t xml:space="preserve">The CET1 ratio fell sharply in 1Q because Goldman used capital to expand prime financing, acquisition financing, and market-risk capacity, while also buying back stock aggressively. This is strategically rational if the incremental deployment earns attractive returns, but it raises the importance of capital discipline.</w:t>
      </w:r>
    </w:p>
    <w:p>
      <w:pPr>
        <w:pStyle w:val="BodyText"/>
      </w:pPr>
      <w:r>
        <w:t xml:space="preserve">For 2Q, investors will look for:</w:t>
      </w:r>
    </w:p>
    <w:p>
      <w:pPr>
        <w:pStyle w:val="Compact"/>
        <w:numPr>
          <w:ilvl w:val="0"/>
          <w:numId w:val="1008"/>
        </w:numPr>
      </w:pPr>
      <w:r>
        <w:t xml:space="preserve">CET1 stability and the remaining management buffer;</w:t>
      </w:r>
    </w:p>
    <w:p>
      <w:pPr>
        <w:pStyle w:val="Compact"/>
        <w:numPr>
          <w:ilvl w:val="0"/>
          <w:numId w:val="1008"/>
        </w:numPr>
      </w:pPr>
      <w:r>
        <w:t xml:space="preserve">continued capacity for large repurchases;</w:t>
      </w:r>
    </w:p>
    <w:p>
      <w:pPr>
        <w:pStyle w:val="Compact"/>
        <w:numPr>
          <w:ilvl w:val="0"/>
          <w:numId w:val="1008"/>
        </w:numPr>
      </w:pPr>
      <w:r>
        <w:t xml:space="preserve">risk-weighted-asset growth by business;</w:t>
      </w:r>
    </w:p>
    <w:p>
      <w:pPr>
        <w:pStyle w:val="Compact"/>
        <w:numPr>
          <w:ilvl w:val="0"/>
          <w:numId w:val="1008"/>
        </w:numPr>
      </w:pPr>
      <w:r>
        <w:t xml:space="preserve">capital use in equities financing, corporate lending, and acquisition finance; and</w:t>
      </w:r>
    </w:p>
    <w:p>
      <w:pPr>
        <w:pStyle w:val="Compact"/>
        <w:numPr>
          <w:ilvl w:val="0"/>
          <w:numId w:val="1008"/>
        </w:numPr>
      </w:pPr>
      <w:r>
        <w:t xml:space="preserve">management’s view on evolving Basel and G-SIB rules.</w:t>
      </w:r>
    </w:p>
    <w:p>
      <w:pPr>
        <w:pStyle w:val="FirstParagraph"/>
      </w:pPr>
      <w:r>
        <w:t xml:space="preserve">A continued high level of repurchases alongside stable capital ratios would be a positive signal. Conversely, a lower buffer, faster-than-expected RWA growth, or more guarded buyback commentary could limit upside even on an earnings beat.</w:t>
      </w:r>
    </w:p>
    <w:p>
      <w:r>
        <w:pict>
          <v:rect style="width:0;height:1.5pt" o:hralign="center" o:hrstd="t" o:hr="t"/>
        </w:pict>
      </w:r>
    </w:p>
    <w:bookmarkEnd w:id="19"/>
    <w:bookmarkStart w:id="20" w:name="what-could-drive-the-stock-higher"/>
    <w:p>
      <w:pPr>
        <w:pStyle w:val="Heading2"/>
      </w:pPr>
      <w:r>
        <w:t xml:space="preserve">What could drive the stock higher</w:t>
      </w:r>
    </w:p>
    <w:p>
      <w:pPr>
        <w:pStyle w:val="FirstParagraph"/>
      </w:pPr>
      <w:r>
        <w:t xml:space="preserve">A positive reaction likely requires several of the following:</w:t>
      </w:r>
    </w:p>
    <w:p>
      <w:pPr>
        <w:pStyle w:val="Compact"/>
        <w:numPr>
          <w:ilvl w:val="0"/>
          <w:numId w:val="1009"/>
        </w:numPr>
      </w:pPr>
      <w:r>
        <w:rPr>
          <w:b/>
          <w:bCs/>
        </w:rPr>
        <w:t xml:space="preserve">Revenue and EPS above consensus</w:t>
      </w:r>
      <w:r>
        <w:t xml:space="preserve">, with strength broad enough to look repeatable.</w:t>
      </w:r>
    </w:p>
    <w:p>
      <w:pPr>
        <w:pStyle w:val="Compact"/>
        <w:numPr>
          <w:ilvl w:val="0"/>
          <w:numId w:val="1009"/>
        </w:numPr>
      </w:pPr>
      <w:r>
        <w:rPr>
          <w:b/>
          <w:bCs/>
        </w:rPr>
        <w:t xml:space="preserve">Investment-banking fees above $2.75 billion</w:t>
      </w:r>
      <w:r>
        <w:t xml:space="preserve">, led by advisory, plus a resilient or improving backlog.</w:t>
      </w:r>
    </w:p>
    <w:p>
      <w:pPr>
        <w:pStyle w:val="Compact"/>
        <w:numPr>
          <w:ilvl w:val="0"/>
          <w:numId w:val="1009"/>
        </w:numPr>
      </w:pPr>
      <w:r>
        <w:rPr>
          <w:b/>
          <w:bCs/>
        </w:rPr>
        <w:t xml:space="preserve">Equities at or above the $4.9 billion expectation</w:t>
      </w:r>
      <w:r>
        <w:t xml:space="preserve">, particularly through financing and prime-brokerage momentum.</w:t>
      </w:r>
    </w:p>
    <w:p>
      <w:pPr>
        <w:pStyle w:val="Compact"/>
        <w:numPr>
          <w:ilvl w:val="0"/>
          <w:numId w:val="1009"/>
        </w:numPr>
      </w:pPr>
      <w:r>
        <w:rPr>
          <w:b/>
          <w:bCs/>
        </w:rPr>
        <w:t xml:space="preserve">Strong FICC execution</w:t>
      </w:r>
      <w:r>
        <w:t xml:space="preserve"> </w:t>
      </w:r>
      <w:r>
        <w:t xml:space="preserve">in a volatile environment without evidence of share loss in rates or mortgages.</w:t>
      </w:r>
    </w:p>
    <w:p>
      <w:pPr>
        <w:pStyle w:val="Compact"/>
        <w:numPr>
          <w:ilvl w:val="0"/>
          <w:numId w:val="1009"/>
        </w:numPr>
      </w:pPr>
      <w:r>
        <w:rPr>
          <w:b/>
          <w:bCs/>
        </w:rPr>
        <w:t xml:space="preserve">Controlled provisions</w:t>
      </w:r>
      <w:r>
        <w:t xml:space="preserve"> </w:t>
      </w:r>
      <w:r>
        <w:t xml:space="preserve">and reassuring private-credit / structured-finance commentary.</w:t>
      </w:r>
    </w:p>
    <w:p>
      <w:pPr>
        <w:pStyle w:val="Compact"/>
        <w:numPr>
          <w:ilvl w:val="0"/>
          <w:numId w:val="1009"/>
        </w:numPr>
      </w:pPr>
      <w:r>
        <w:rPr>
          <w:b/>
          <w:bCs/>
        </w:rPr>
        <w:t xml:space="preserve">Tax normalization without an earnings-quality concern.</w:t>
      </w:r>
    </w:p>
    <w:p>
      <w:pPr>
        <w:pStyle w:val="Compact"/>
        <w:numPr>
          <w:ilvl w:val="0"/>
          <w:numId w:val="1009"/>
        </w:numPr>
      </w:pPr>
      <w:r>
        <w:rPr>
          <w:b/>
          <w:bCs/>
        </w:rPr>
        <w:t xml:space="preserve">A credible path to the 60% efficiency target</w:t>
      </w:r>
      <w:r>
        <w:t xml:space="preserve"> </w:t>
      </w:r>
      <w:r>
        <w:t xml:space="preserve">despite cloud, data, cyber, and AI investments.</w:t>
      </w:r>
    </w:p>
    <w:p>
      <w:pPr>
        <w:pStyle w:val="Compact"/>
        <w:numPr>
          <w:ilvl w:val="0"/>
          <w:numId w:val="1009"/>
        </w:numPr>
      </w:pPr>
      <w:r>
        <w:rPr>
          <w:b/>
          <w:bCs/>
        </w:rPr>
        <w:t xml:space="preserve">Maintained buyback capacity</w:t>
      </w:r>
      <w:r>
        <w:t xml:space="preserve"> </w:t>
      </w:r>
      <w:r>
        <w:t xml:space="preserve">and constructive capital commentary.</w:t>
      </w:r>
    </w:p>
    <w:p>
      <w:pPr>
        <w:pStyle w:val="Compact"/>
        <w:numPr>
          <w:ilvl w:val="0"/>
          <w:numId w:val="1009"/>
        </w:numPr>
      </w:pPr>
      <w:r>
        <w:rPr>
          <w:b/>
          <w:bCs/>
        </w:rPr>
        <w:t xml:space="preserve">No material deterioration in the 2H26 pipeline</w:t>
      </w:r>
      <w:r>
        <w:t xml:space="preserve"> </w:t>
      </w:r>
      <w:r>
        <w:t xml:space="preserve">from geopolitical uncertainty, higher energy prices, or a delayed IPO market.</w:t>
      </w:r>
    </w:p>
    <w:p>
      <w:r>
        <w:pict>
          <v:rect style="width:0;height:1.5pt" o:hralign="center" o:hrstd="t" o:hr="t"/>
        </w:pict>
      </w:r>
    </w:p>
    <w:bookmarkEnd w:id="20"/>
    <w:bookmarkStart w:id="21" w:name="what-could-disappoint"/>
    <w:p>
      <w:pPr>
        <w:pStyle w:val="Heading2"/>
      </w:pPr>
      <w:r>
        <w:t xml:space="preserve">What could disappoint</w:t>
      </w:r>
    </w:p>
    <w:p>
      <w:pPr>
        <w:pStyle w:val="FirstParagraph"/>
      </w:pPr>
      <w:r>
        <w:t xml:space="preserve">The stock is vulnerable if results indicate “good, but already priced in” rather than an inflection in earnings power. Principal risks include:</w:t>
      </w:r>
    </w:p>
    <w:p>
      <w:pPr>
        <w:pStyle w:val="Compact"/>
        <w:numPr>
          <w:ilvl w:val="0"/>
          <w:numId w:val="1010"/>
        </w:numPr>
      </w:pPr>
      <w:r>
        <w:t xml:space="preserve">Investment-banking fees that meet consensus but come with softer pipeline, IPO, or sponsor commentary.</w:t>
      </w:r>
    </w:p>
    <w:p>
      <w:pPr>
        <w:pStyle w:val="Compact"/>
        <w:numPr>
          <w:ilvl w:val="0"/>
          <w:numId w:val="1010"/>
        </w:numPr>
      </w:pPr>
      <w:r>
        <w:t xml:space="preserve">Equities or FICC results below elevated expectations, especially if financing revenue moderates.</w:t>
      </w:r>
    </w:p>
    <w:p>
      <w:pPr>
        <w:pStyle w:val="Compact"/>
        <w:numPr>
          <w:ilvl w:val="0"/>
          <w:numId w:val="1010"/>
        </w:numPr>
      </w:pPr>
      <w:r>
        <w:t xml:space="preserve">Higher provisions, incremental credit impairments, or more guarded private-credit commentary.</w:t>
      </w:r>
    </w:p>
    <w:p>
      <w:pPr>
        <w:pStyle w:val="Compact"/>
        <w:numPr>
          <w:ilvl w:val="0"/>
          <w:numId w:val="1010"/>
        </w:numPr>
      </w:pPr>
      <w:r>
        <w:t xml:space="preserve">Expense growth that outpaces revenue growth.</w:t>
      </w:r>
    </w:p>
    <w:p>
      <w:pPr>
        <w:pStyle w:val="Compact"/>
        <w:numPr>
          <w:ilvl w:val="0"/>
          <w:numId w:val="1010"/>
        </w:numPr>
      </w:pPr>
      <w:r>
        <w:t xml:space="preserve">A lower-than-expected capital cushion or tempered repurchase outlook.</w:t>
      </w:r>
    </w:p>
    <w:p>
      <w:pPr>
        <w:pStyle w:val="Compact"/>
        <w:numPr>
          <w:ilvl w:val="0"/>
          <w:numId w:val="1010"/>
        </w:numPr>
      </w:pPr>
      <w:r>
        <w:t xml:space="preserve">A weak outlook for private-banking spread income amid persistent deposit competition.</w:t>
      </w:r>
    </w:p>
    <w:p>
      <w:pPr>
        <w:pStyle w:val="Compact"/>
        <w:numPr>
          <w:ilvl w:val="0"/>
          <w:numId w:val="1010"/>
        </w:numPr>
      </w:pPr>
      <w:r>
        <w:t xml:space="preserve">A more risk-off client environment as geopolitical tensions and inflation uncertainty affect financing, underwriting, and M&amp;A execution.</w:t>
      </w:r>
    </w:p>
    <w:p>
      <w:r>
        <w:pict>
          <v:rect style="width:0;height:1.5pt" o:hralign="center" o:hrstd="t" o:hr="t"/>
        </w:pict>
      </w:r>
    </w:p>
    <w:bookmarkEnd w:id="21"/>
    <w:bookmarkStart w:id="22" w:name="questions-for-management"/>
    <w:p>
      <w:pPr>
        <w:pStyle w:val="Heading2"/>
      </w:pPr>
      <w:r>
        <w:t xml:space="preserve">Questions for management</w:t>
      </w:r>
    </w:p>
    <w:p>
      <w:pPr>
        <w:pStyle w:val="Compact"/>
        <w:numPr>
          <w:ilvl w:val="0"/>
          <w:numId w:val="1011"/>
        </w:numPr>
      </w:pPr>
      <w:r>
        <w:rPr>
          <w:b/>
          <w:bCs/>
        </w:rPr>
        <w:t xml:space="preserve">Backlog and pipeline:</w:t>
      </w:r>
      <w:r>
        <w:t xml:space="preserve"> </w:t>
      </w:r>
      <w:r>
        <w:t xml:space="preserve">Did investment-banking backlog grow, stay stable, or decline in 2Q after fee realization? How has the IPO calendar changed since April?</w:t>
      </w:r>
    </w:p>
    <w:p>
      <w:pPr>
        <w:pStyle w:val="Compact"/>
        <w:numPr>
          <w:ilvl w:val="0"/>
          <w:numId w:val="1011"/>
        </w:numPr>
      </w:pPr>
      <w:r>
        <w:rPr>
          <w:b/>
          <w:bCs/>
        </w:rPr>
        <w:t xml:space="preserve">Equities financing:</w:t>
      </w:r>
      <w:r>
        <w:t xml:space="preserve"> </w:t>
      </w:r>
      <w:r>
        <w:t xml:space="preserve">Are prime-brokerage balances and Asia momentum continuing into July, and what are the returns on incremental capital deployed?</w:t>
      </w:r>
    </w:p>
    <w:p>
      <w:pPr>
        <w:pStyle w:val="Compact"/>
        <w:numPr>
          <w:ilvl w:val="0"/>
          <w:numId w:val="1011"/>
        </w:numPr>
      </w:pPr>
      <w:r>
        <w:rPr>
          <w:b/>
          <w:bCs/>
        </w:rPr>
        <w:t xml:space="preserve">FICC mix:</w:t>
      </w:r>
      <w:r>
        <w:t xml:space="preserve"> </w:t>
      </w:r>
      <w:r>
        <w:t xml:space="preserve">Did commodities and currencies offset pressure in rates, mortgages, or credit? What is the early 3Q trading backdrop?</w:t>
      </w:r>
    </w:p>
    <w:p>
      <w:pPr>
        <w:pStyle w:val="Compact"/>
        <w:numPr>
          <w:ilvl w:val="0"/>
          <w:numId w:val="1011"/>
        </w:numPr>
      </w:pPr>
      <w:r>
        <w:rPr>
          <w:b/>
          <w:bCs/>
        </w:rPr>
        <w:t xml:space="preserve">Private credit:</w:t>
      </w:r>
      <w:r>
        <w:t xml:space="preserve"> </w:t>
      </w:r>
      <w:r>
        <w:t xml:space="preserve">What are current fundraising, redemption, valuation, and credit trends across institutional and retail-oriented strategies?</w:t>
      </w:r>
    </w:p>
    <w:p>
      <w:pPr>
        <w:pStyle w:val="Compact"/>
        <w:numPr>
          <w:ilvl w:val="0"/>
          <w:numId w:val="1011"/>
        </w:numPr>
      </w:pPr>
      <w:r>
        <w:rPr>
          <w:b/>
          <w:bCs/>
        </w:rPr>
        <w:t xml:space="preserve">Provisioning:</w:t>
      </w:r>
      <w:r>
        <w:t xml:space="preserve"> </w:t>
      </w:r>
      <w:r>
        <w:t xml:space="preserve">How much of any reserve build reflects loan growth versus changes in macro assumptions or specific credit issues?</w:t>
      </w:r>
    </w:p>
    <w:p>
      <w:pPr>
        <w:pStyle w:val="Compact"/>
        <w:numPr>
          <w:ilvl w:val="0"/>
          <w:numId w:val="1011"/>
        </w:numPr>
      </w:pPr>
      <w:r>
        <w:rPr>
          <w:b/>
          <w:bCs/>
        </w:rPr>
        <w:t xml:space="preserve">Expenses:</w:t>
      </w:r>
      <w:r>
        <w:t xml:space="preserve"> </w:t>
      </w:r>
      <w:r>
        <w:t xml:space="preserve">What is the expected cadence of cloud/data/AI spending, and how should investors assess progress toward the 60% efficiency goal?</w:t>
      </w:r>
    </w:p>
    <w:p>
      <w:pPr>
        <w:pStyle w:val="Compact"/>
        <w:numPr>
          <w:ilvl w:val="0"/>
          <w:numId w:val="1011"/>
        </w:numPr>
      </w:pPr>
      <w:r>
        <w:rPr>
          <w:b/>
          <w:bCs/>
        </w:rPr>
        <w:t xml:space="preserve">Capital:</w:t>
      </w:r>
      <w:r>
        <w:t xml:space="preserve"> </w:t>
      </w:r>
      <w:r>
        <w:t xml:space="preserve">What CET1 operating range does Goldman view as appropriate following regulatory developments, and what does that imply for 2H26 buybacks?</w:t>
      </w:r>
    </w:p>
    <w:p>
      <w:r>
        <w:pict>
          <v:rect style="width:0;height:1.5pt" o:hralign="center" o:hrstd="t" o:hr="t"/>
        </w:pict>
      </w:r>
    </w:p>
    <w:bookmarkEnd w:id="22"/>
    <w:bookmarkStart w:id="24" w:name="investment-framing"/>
    <w:p>
      <w:pPr>
        <w:pStyle w:val="Heading2"/>
      </w:pPr>
      <w:r>
        <w:t xml:space="preserve">Investment framing</w:t>
      </w:r>
    </w:p>
    <w:p>
      <w:pPr>
        <w:pStyle w:val="FirstParagraph"/>
      </w:pPr>
      <w:r>
        <w:t xml:space="preserve">GS remains one of the clearest beneficiaries of a favorable capital-markets environment: its advisory franchise, scaled markets platform, growing financing businesses, and increasingly durable Asset &amp; Wealth Management franchise are all operating from a position of strength.</w:t>
      </w:r>
    </w:p>
    <w:p>
      <w:pPr>
        <w:pStyle w:val="BodyText"/>
      </w:pPr>
      <w:r>
        <w:t xml:space="preserve">But the setup is demanding. Going into July 14, the differentiator is likely to be</w:t>
      </w:r>
      <w:r>
        <w:t xml:space="preserve"> </w:t>
      </w:r>
      <w:r>
        <w:rPr>
          <w:b/>
          <w:bCs/>
        </w:rPr>
        <w:t xml:space="preserve">forward earnings power</w:t>
      </w:r>
      <w:r>
        <w:t xml:space="preserve">, not merely the quarterly EPS print. For the bull case to extend, Goldman needs to show that trading and financing strength remains durable, investment-banking backlog is still converting, private-credit risks are manageable, and capital deployment can continue to compound returns without compromising buybacks.</w:t>
      </w:r>
    </w:p>
    <w:bookmarkStart w:id="23" w:name="sources-consulted"/>
    <w:p>
      <w:pPr>
        <w:pStyle w:val="Heading3"/>
      </w:pPr>
      <w:r>
        <w:t xml:space="preserve">Sources consulted</w:t>
      </w:r>
    </w:p>
    <w:p>
      <w:pPr>
        <w:pStyle w:val="Compact"/>
        <w:numPr>
          <w:ilvl w:val="0"/>
          <w:numId w:val="1012"/>
        </w:numPr>
      </w:pPr>
      <w:r>
        <w:t xml:space="preserve">Goldman Sachs 1Q26 earnings release, earnings presentation, and April 13, 2026 earnings-call transcript.</w:t>
      </w:r>
    </w:p>
    <w:p>
      <w:pPr>
        <w:pStyle w:val="Compact"/>
        <w:numPr>
          <w:ilvl w:val="0"/>
          <w:numId w:val="1012"/>
        </w:numPr>
      </w:pPr>
      <w:r>
        <w:t xml:space="preserve">Goldman Sachs 2Q25 earnings release for prior-year comparisons.</w:t>
      </w:r>
    </w:p>
    <w:p>
      <w:pPr>
        <w:pStyle w:val="Compact"/>
        <w:numPr>
          <w:ilvl w:val="0"/>
          <w:numId w:val="1012"/>
        </w:numPr>
      </w:pPr>
      <w:r>
        <w:t xml:space="preserve">Market-news and consensus data through July 13, 2026.</w:t>
      </w:r>
    </w:p>
    <w:p>
      <w:pPr>
        <w:pStyle w:val="Compact"/>
        <w:numPr>
          <w:ilvl w:val="0"/>
          <w:numId w:val="1012"/>
        </w:numPr>
      </w:pPr>
      <w:r>
        <w:t xml:space="preserve">GS historical closing-price data through July 13, 2026.</w:t>
      </w:r>
    </w:p>
    <w:bookmarkEnd w:id="23"/>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2026-07-14T01:16:07Z</dcterms:created>
  <dcterms:modified xsi:type="dcterms:W3CDTF">2026-07-14T01:16:07Z</dcterms:modified>
</cp:coreProperties>
</file>

<file path=docProps/custom.xml><?xml version="1.0" encoding="utf-8"?>
<Properties xmlns="http://schemas.openxmlformats.org/officeDocument/2006/custom-properties" xmlns:vt="http://schemas.openxmlformats.org/officeDocument/2006/docPropsVTypes"/>
</file>