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isrg-earnings-predictions--2026-07-16"/>
    <w:p>
      <w:pPr>
        <w:pStyle w:val="Heading1"/>
      </w:pPr>
      <w:r>
        <w:t xml:space="preserve">ISRG Earnings Predictions — 2026-07-16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ISRG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~$2.86B vs. cons $2.81B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ISRG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da Vinci procedure growth (YoY)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~16.5% vs. cons ~15%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ISRG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~$2.56 vs. cons $2.48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ISRG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da Vinci procedure growth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~14.5-16% vs. cons ~15% (FY2026, prior range 13.5-15.5%)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ISRG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non-GAAP gross margin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~67.5-68.5% vs. cons ~68% (FY2026, tariff/memory drag embedded)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ISRG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da Vinci I&amp;A revenue per procedure (recurring-revenue referendum)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</m:t>
              </m:r>
              <m:r>
                <m:rPr>
                  <m:sty m:val="p"/>
                </m:rPr>
                <m:t>,</m:t>
              </m:r>
              <m:r>
                <m:t>870</m:t>
              </m:r>
              <m:r>
                <m:rPr>
                  <m:sty m:val="p"/>
                </m:rPr>
                <m:t>−</m:t>
              </m:r>
              <m:r>
                <m:t>1</m:t>
              </m:r>
              <m:r>
                <m:rPr>
                  <m:sty m:val="p"/>
                </m:rPr>
                <m:t>,</m:t>
              </m:r>
              <m:r>
                <m:t>900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1,880 (Q2, instrument-life extension is the swing risk)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ISRG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System placements (da Vinci + dV5 mix)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pred ~430 da Vinci (~240 dV5) vs. cons ~415 (Q2, vs 395 yr-ago)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ISRG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+6.0%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ISRG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+3.5% (FADE)</w:t>
            </w:r>
          </w:p>
        </w:tc>
        <w:tc>
          <w:tcPr/>
          <w:p>
            <w:pPr>
              <w:pStyle w:val="Compact"/>
            </w:pPr>
            <w:r>
              <w:t xml:space="preserve">Washed-out sentiment (stock -33% YTD, multiple compressed to ~46x from ~72x) plus ISRG's historical beat-and-raise pattern set up a sharp relief pop on a clean procedure beat and raised full-year guide. But the rally partially fades over the week because the out-period math works against it: the instrument-life/reuse extensions structurally lower future I&amp;A revenue-per-procedure, and tariff/memory/dV5-mix pressure caps gross-margin upside, so analysts trim out-year recurring-revenue and margin estimates even after a headline Q2 beat — leaving day-5 residual positive but below the day-1 spike.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2026-07-16T01:47:02Z</dcterms:created>
  <dcterms:modified xsi:type="dcterms:W3CDTF">2026-07-16T01:47:02Z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