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srg-earnings-predictions--2026-07-16"/>
    <w:p>
      <w:pPr>
        <w:pStyle w:val="Heading1"/>
      </w:pPr>
      <w:r>
        <w:t xml:space="preserve">ISRG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2.87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2.815B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2.62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da Vinci Procedure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~15.0% vs. cons ~14.0%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da Vinci Procedure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~14.5%-16.5% vs. cons ~13.5%-15.5%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~67.5%-68.5% vs. cons ~67.5%-68.5%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Tariff Cost Impact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~100bps vs. cons ~100bps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ISRG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(FADE)</w:t>
            </w:r>
          </w:p>
        </w:tc>
        <w:tc>
          <w:tcPr/>
          <w:p>
            <w:pPr>
              <w:pStyle w:val="Compact"/>
            </w:pPr>
            <w:r>
              <w:t xml:space="preserve">Beat-and-modest-raise triggers a sharp relief rally off deeply oversold, sentiment-driven levels (stock down &gt;30% from highs), but the raise likely falls short of fully resolving the structural overhangs (China reimbursement clarity pushed to 2027, 2H tariff/input cost inflation still flagged, recall remediation costs still unquantified). As sell-side models roll forward, implicit 2H27 margin and China-growth assumptions get trimmed even after the Q2 beat, causing part of the initial pop to fade over the following days rather than fully follow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2026-07-16T01:47:25Z</dcterms:created>
  <dcterms:modified xsi:type="dcterms:W3CDTF">2026-07-16T01:47:25Z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