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9" w:name="isrg-earnings-predictions--2026-07-16"/>
    <w:p>
      <w:pPr>
        <w:pStyle w:val="Heading1"/>
      </w:pPr>
      <w:r>
        <w:t xml:space="preserve">ISRG Earnings Predictions — 2026-07-16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1320"/>
        <w:gridCol w:w="1320"/>
        <w:gridCol w:w="1320"/>
        <w:gridCol w:w="1320"/>
        <w:gridCol w:w="1320"/>
        <w:gridCol w:w="132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Ticker</w:t>
            </w:r>
          </w:p>
        </w:tc>
        <w:tc>
          <w:tcPr/>
          <w:p>
            <w:pPr>
              <w:pStyle w:val="Compact"/>
            </w:pPr>
            <w:r>
              <w:t xml:space="preserve">Report or Guide</w:t>
            </w:r>
          </w:p>
        </w:tc>
        <w:tc>
          <w:tcPr/>
          <w:p>
            <w:pPr>
              <w:pStyle w:val="Compact"/>
            </w:pPr>
            <w:r>
              <w:t xml:space="preserve">KPI</w:t>
            </w:r>
          </w:p>
        </w:tc>
        <w:tc>
          <w:tcPr/>
          <w:p>
            <w:pPr>
              <w:pStyle w:val="Compact"/>
            </w:pPr>
            <w:r>
              <w:t xml:space="preserve">Prediction</w:t>
            </w:r>
          </w:p>
        </w:tc>
        <w:tc>
          <w:tcPr/>
          <w:p>
            <w:pPr>
              <w:pStyle w:val="Compact"/>
            </w:pPr>
            <w:r>
              <w:t xml:space="preserve">Answer</w:t>
            </w:r>
          </w:p>
        </w:tc>
        <w:tc>
          <w:tcPr/>
          <w:p>
            <w:pPr>
              <w:pStyle w:val="Compact"/>
            </w:pPr>
            <w:r>
              <w:t xml:space="preserve">Confidence</w:t>
            </w:r>
          </w:p>
        </w:tc>
      </w:tr>
      <w:tr>
        <w:tc>
          <w:tcPr/>
          <w:p>
            <w:pPr>
              <w:pStyle w:val="Compact"/>
            </w:pPr>
            <w:r>
              <w:t xml:space="preserve">ISRG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Revenue</w:t>
            </w:r>
          </w:p>
        </w:tc>
        <w:tc>
          <w:tcPr/>
          <w:p>
            <w:pPr>
              <w:pStyle w:val="Compact"/>
            </w:pPr>
            <w:r>
              <w:t xml:space="preserve">BEAT</w:t>
            </w:r>
          </w:p>
        </w:tc>
        <w:tc>
          <w:tcPr/>
          <w:p>
            <w:pPr>
              <w:pStyle w:val="Compact"/>
            </w:pPr>
            <w:r>
              <w:t xml:space="preserve">pred ~$2.87B vs. cons $2.82B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ISRG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Adjusted EPS</w:t>
            </w:r>
          </w:p>
        </w:tc>
        <w:tc>
          <w:tcPr/>
          <w:p>
            <w:pPr>
              <w:pStyle w:val="Compact"/>
            </w:pPr>
            <w:r>
              <w:t xml:space="preserve">BEAT</w:t>
            </w:r>
          </w:p>
        </w:tc>
        <w:tc>
          <w:tcPr/>
          <w:p>
            <w:pPr>
              <w:pStyle w:val="Compact"/>
            </w:pPr>
            <w:r>
              <w:t xml:space="preserve">pred ~$2.55 vs. cons $2.48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ISRG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da Vinci procedure growth</w:t>
            </w:r>
          </w:p>
        </w:tc>
        <w:tc>
          <w:tcPr/>
          <w:p>
            <w:pPr>
              <w:pStyle w:val="Compact"/>
            </w:pPr>
            <w:r>
              <w:t xml:space="preserve">BEAT</w:t>
            </w:r>
          </w:p>
        </w:tc>
        <w:tc>
          <w:tcPr/>
          <w:p>
            <w:pPr>
              <w:pStyle w:val="Compact"/>
            </w:pPr>
            <w:r>
              <w:t xml:space="preserve">pred ~15.5% vs. cons 15.0%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ISRG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Worldwide da Vinci procedure growth</w:t>
            </w:r>
          </w:p>
        </w:tc>
        <w:tc>
          <w:tcPr/>
          <w:p>
            <w:pPr>
              <w:pStyle w:val="Compact"/>
            </w:pPr>
            <w:r>
              <w:t xml:space="preserve">BETTER</w:t>
            </w:r>
          </w:p>
        </w:tc>
        <w:tc>
          <w:tcPr/>
          <w:p>
            <w:pPr>
              <w:pStyle w:val="Compact"/>
            </w:pPr>
            <w:r>
              <w:t xml:space="preserve">guide ~14.0%-16.0% vs. cons 13.5%-15.5% (FY2026)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ISRG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Adjusted gross margin</w:t>
            </w:r>
          </w:p>
        </w:tc>
        <w:tc>
          <w:tcPr/>
          <w:p>
            <w:pPr>
              <w:pStyle w:val="Compact"/>
            </w:pPr>
            <w:r>
              <w:t xml:space="preserve">UNCHANGED</w:t>
            </w:r>
          </w:p>
        </w:tc>
        <w:tc>
          <w:tcPr/>
          <w:p>
            <w:pPr>
              <w:pStyle w:val="Compact"/>
            </w:pPr>
            <w:r>
              <w:t xml:space="preserve">guide ~67.5%-68.5% vs. cons 67.5%-68.5% (FY2026)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ISRG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Adjusted operating-expense growth</w:t>
            </w:r>
          </w:p>
        </w:tc>
        <w:tc>
          <w:tcPr/>
          <w:p>
            <w:pPr>
              <w:pStyle w:val="Compact"/>
            </w:pPr>
            <w:r>
              <w:t xml:space="preserve">UNCHANGED</w:t>
            </w:r>
          </w:p>
        </w:tc>
        <w:tc>
          <w:tcPr/>
          <w:p>
            <w:pPr>
              <w:pStyle w:val="Compact"/>
            </w:pPr>
            <w:r>
              <w:t xml:space="preserve">guide ~11%-14% vs. cons 11%-14% (FY2026)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ISRG</w:t>
            </w:r>
          </w:p>
        </w:tc>
        <w:tc>
          <w:tcPr/>
          <w:p>
            <w:pPr>
              <w:pStyle w:val="Compact"/>
            </w:pPr>
            <w:r>
              <w:t xml:space="preserve">Return</w:t>
            </w:r>
          </w:p>
        </w:tc>
        <w:tc>
          <w:tcPr/>
          <w:p>
            <w:pPr>
              <w:pStyle w:val="Compact"/>
            </w:pPr>
            <w:r>
              <w:t xml:space="preserve">Day-1 residual (stock − beta × S&amp;P 500)</w:t>
            </w:r>
          </w:p>
        </w:tc>
        <w:tc>
          <w:tcPr/>
          <w:p>
            <w:pPr>
              <w:pStyle w:val="Compact"/>
            </w:pPr>
            <w:r>
              <w:t xml:space="preserve">+5.5%</w:t>
            </w:r>
          </w:p>
        </w:tc>
        <w:tc>
          <w:tcPr/>
          <w:p>
            <w:pPr>
              <w:pStyle w:val="Compact"/>
            </w:pPr>
            <w:r>
              <w:t xml:space="preserve">—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ISRG</w:t>
            </w:r>
          </w:p>
        </w:tc>
        <w:tc>
          <w:tcPr/>
          <w:p>
            <w:pPr>
              <w:pStyle w:val="Compact"/>
            </w:pPr>
            <w:r>
              <w:t xml:space="preserve">Return</w:t>
            </w:r>
          </w:p>
        </w:tc>
        <w:tc>
          <w:tcPr/>
          <w:p>
            <w:pPr>
              <w:pStyle w:val="Compact"/>
            </w:pPr>
            <w:r>
              <w:t xml:space="preserve">5-day cumulative residual</w:t>
            </w:r>
          </w:p>
        </w:tc>
        <w:tc>
          <w:tcPr/>
          <w:p>
            <w:pPr>
              <w:pStyle w:val="Compact"/>
            </w:pPr>
            <w:r>
              <w:t xml:space="preserve">+4.0% (FADE)</w:t>
            </w:r>
          </w:p>
        </w:tc>
        <w:tc>
          <w:tcPr/>
          <w:p>
            <w:pPr>
              <w:pStyle w:val="Compact"/>
            </w:pPr>
            <w:r>
              <w:t xml:space="preserve">Day-1 residual ~+5.5% vs. five-day residual ~+4.0%: resilient procedures should reverse part of the HCA-driven selloff, but only a modest guidance increase implies roughly 14%-15% second-half procedure growth versus about 16% in the first half, limiting estimate revisions and causing some initial gain to fade.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</w:tbl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2026-07-16T01:44:16Z</dcterms:created>
  <dcterms:modified xsi:type="dcterms:W3CDTF">2026-07-16T01:44:16Z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