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2" w:name="isrg-q2-2026-earnings-preview"/>
    <w:p>
      <w:pPr>
        <w:pStyle w:val="Heading1"/>
      </w:pPr>
      <w:r>
        <w:t xml:space="preserve">ISRG Q2 2026 Earnings Preview</w:t>
      </w:r>
    </w:p>
    <w:p>
      <w:pPr>
        <w:pStyle w:val="BlockText"/>
      </w:pPr>
      <w:r>
        <w:rPr>
          <w:b/>
          <w:bCs/>
        </w:rPr>
        <w:t xml:space="preserve">Timing clarification:</w:t>
      </w:r>
      <w:r>
        <w:t xml:space="preserve"> </w:t>
      </w:r>
      <w:r>
        <w:t xml:space="preserve">Intuitive Surgical’s Q2 earnings call is scheduled for</w:t>
      </w:r>
      <w:r>
        <w:t xml:space="preserve"> </w:t>
      </w:r>
      <w:r>
        <w:rPr>
          <w:b/>
          <w:bCs/>
        </w:rPr>
        <w:t xml:space="preserve">today, Thursday, July 16, 2026, at 1:30 p.m. Pacific</w:t>
      </w:r>
      <w:r>
        <w:t xml:space="preserve">, not tomorrow. The report is expected after the market close. (</w:t>
      </w:r>
      <w:hyperlink r:id="rId9">
        <w:r>
          <w:rPr>
            <w:rStyle w:val="Hyperlink"/>
          </w:rPr>
          <w:t xml:space="preserve">isrg.gcs-web.com</w:t>
        </w:r>
      </w:hyperlink>
      <w:r>
        <w:t xml:space="preserve">)</w:t>
      </w:r>
    </w:p>
    <w:bookmarkStart w:id="12" w:name="executive-view"/>
    <w:p>
      <w:pPr>
        <w:pStyle w:val="Heading2"/>
      </w:pPr>
      <w:r>
        <w:t xml:space="preserve">Executive view</w:t>
      </w:r>
    </w:p>
    <w:p>
      <w:pPr>
        <w:pStyle w:val="FirstParagraph"/>
      </w:pPr>
      <w:r>
        <w:t xml:space="preserve">The central question is not whether Intuitive Surgical will produce another quarter of double-digit growth. It is whether</w:t>
      </w:r>
      <w:r>
        <w:t xml:space="preserve"> </w:t>
      </w:r>
      <w:r>
        <w:rPr>
          <w:b/>
          <w:bCs/>
        </w:rPr>
        <w:t xml:space="preserve">procedure growth remains strong enough to sustain the premium valuation and offset recent concerns about weakening hospital surgical volumes</w:t>
      </w:r>
      <w:r>
        <w:t xml:space="preserve">.</w:t>
      </w:r>
    </w:p>
    <w:p>
      <w:pPr>
        <w:pStyle w:val="BodyText"/>
      </w:pPr>
      <w:r>
        <w:t xml:space="preserve">ISRG enters the report with unusually divided signals:</w:t>
      </w:r>
    </w:p>
    <w:p>
      <w:pPr>
        <w:pStyle w:val="Compact"/>
        <w:numPr>
          <w:ilvl w:val="0"/>
          <w:numId w:val="1001"/>
        </w:numPr>
      </w:pPr>
      <w:r>
        <w:t xml:space="preserve">Q1 was excellent: revenue grew 23%, combined procedures grew 17%, da Vinci procedures grew 16%, and adjusted EPS reached $2.50.</w:t>
      </w:r>
    </w:p>
    <w:p>
      <w:pPr>
        <w:pStyle w:val="Compact"/>
        <w:numPr>
          <w:ilvl w:val="0"/>
          <w:numId w:val="1001"/>
        </w:numPr>
      </w:pPr>
      <w:r>
        <w:t xml:space="preserve">da Vinci 5 adoption, utilization and trade-ins are supporting revenue growth above procedure growth.</w:t>
      </w:r>
    </w:p>
    <w:p>
      <w:pPr>
        <w:pStyle w:val="Compact"/>
        <w:numPr>
          <w:ilvl w:val="0"/>
          <w:numId w:val="1001"/>
        </w:numPr>
      </w:pPr>
      <w:r>
        <w:t xml:space="preserve">But ISRG shares closed July 15 near</w:t>
      </w:r>
      <w:r>
        <w:t xml:space="preserve"> </w:t>
      </w:r>
      <w:r>
        <w:rPr>
          <w:b/>
          <w:bCs/>
        </w:rPr>
        <w:t xml:space="preserve">$389</w:t>
      </w:r>
      <w:r>
        <w:t xml:space="preserve">, down roughly</w:t>
      </w:r>
      <w:r>
        <w:t xml:space="preserve"> </w:t>
      </w:r>
      <w:r>
        <w:rPr>
          <w:b/>
          <w:bCs/>
        </w:rPr>
        <w:t xml:space="preserve">31% from the first trading day of 2026</w:t>
      </w:r>
      <w:r>
        <w:t xml:space="preserve">.</w:t>
      </w:r>
    </w:p>
    <w:p>
      <w:pPr>
        <w:pStyle w:val="Compact"/>
        <w:numPr>
          <w:ilvl w:val="0"/>
          <w:numId w:val="1001"/>
        </w:numPr>
      </w:pPr>
      <w:r>
        <w:t xml:space="preserve">The July 14 selloff was accelerated by HCA Healthcare’s warning about weaker surgical volumes, which pressured medical-device stocks broadly. (</w:t>
      </w:r>
      <w:hyperlink r:id="rId10">
        <w:r>
          <w:rPr>
            <w:rStyle w:val="Hyperlink"/>
          </w:rPr>
          <w:t xml:space="preserve">investing.com</w:t>
        </w:r>
      </w:hyperlink>
      <w:r>
        <w:t xml:space="preserve">)</w:t>
      </w:r>
    </w:p>
    <w:p>
      <w:pPr>
        <w:pStyle w:val="Compact"/>
        <w:numPr>
          <w:ilvl w:val="0"/>
          <w:numId w:val="1001"/>
        </w:numPr>
      </w:pPr>
      <w:r>
        <w:t xml:space="preserve">Even after the decline, ISRG trades at approximately</w:t>
      </w:r>
      <w:r>
        <w:t xml:space="preserve"> </w:t>
      </w:r>
      <w:r>
        <w:rPr>
          <w:b/>
          <w:bCs/>
        </w:rPr>
        <w:t xml:space="preserve">37 times the current 2026 EPS estimate</w:t>
      </w:r>
      <w:r>
        <w:t xml:space="preserve"> </w:t>
      </w:r>
      <w:r>
        <w:t xml:space="preserve">and 33 times the 2027 estimate. The valuation therefore still requires durable mid-teens procedure growth and strong execution. (</w:t>
      </w:r>
      <w:hyperlink r:id="rId11">
        <w:r>
          <w:rPr>
            <w:rStyle w:val="Hyperlink"/>
          </w:rPr>
          <w:t xml:space="preserve">tradingview.com</w:t>
        </w:r>
      </w:hyperlink>
      <w:r>
        <w:t xml:space="preserve">)</w:t>
      </w:r>
    </w:p>
    <w:p>
      <w:pPr>
        <w:pStyle w:val="FirstParagraph"/>
      </w:pPr>
      <w:r>
        <w:rPr>
          <w:b/>
          <w:bCs/>
        </w:rPr>
        <w:t xml:space="preserve">My view:</w:t>
      </w:r>
      <w:r>
        <w:t xml:space="preserve"> </w:t>
      </w:r>
      <w:r>
        <w:t xml:space="preserve">Procedure growth, gross-margin guidance and management’s comments about U.S. hospital demand will matter more than a modest EPS beat. Given the reset in the share price, expectations are less demanding than they were at the start of the year—but this remains a stock where the quality of the outlook matters more than the headline quarter.</w:t>
      </w:r>
    </w:p>
    <w:p>
      <w:r>
        <w:pict>
          <v:rect style="width:0;height:1.5pt" o:hralign="center" o:hrstd="t" o:hr="t"/>
        </w:pict>
      </w:r>
    </w:p>
    <w:bookmarkEnd w:id="12"/>
    <w:bookmarkStart w:id="15" w:name="street-expectations"/>
    <w:p>
      <w:pPr>
        <w:pStyle w:val="Heading2"/>
      </w:pPr>
      <w:r>
        <w:t xml:space="preserve">Street expectations</w:t>
      </w:r>
    </w:p>
    <w:p>
      <w:pPr>
        <w:pStyle w:val="FirstParagraph"/>
      </w:pPr>
      <w:r>
        <w:t xml:space="preserve">Consensus varies modestly by data provider:</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Metric</w:t>
            </w:r>
          </w:p>
        </w:tc>
        <w:tc>
          <w:tcPr/>
          <w:p>
            <w:pPr>
              <w:pStyle w:val="Compact"/>
              <w:jc w:val="right"/>
            </w:pPr>
            <w:r>
              <w:t xml:space="preserve">Q2 2026 consensus</w:t>
            </w:r>
          </w:p>
        </w:tc>
        <w:tc>
          <w:tcPr/>
          <w:p>
            <w:pPr>
              <w:pStyle w:val="Compact"/>
              <w:jc w:val="right"/>
            </w:pPr>
            <w:r>
              <w:t xml:space="preserve">Q2 2025 actual</w:t>
            </w:r>
          </w:p>
        </w:tc>
        <w:tc>
          <w:tcPr/>
          <w:p>
            <w:pPr>
              <w:pStyle w:val="Compact"/>
              <w:jc w:val="right"/>
            </w:pPr>
            <w:r>
              <w:t xml:space="preserve">Implied growth</w:t>
            </w:r>
          </w:p>
        </w:tc>
      </w:tr>
      <w:tr>
        <w:tc>
          <w:tcPr/>
          <w:p>
            <w:pPr>
              <w:pStyle w:val="Compact"/>
            </w:pPr>
            <w:r>
              <w:t xml:space="preserve">Revenue</w:t>
            </w:r>
          </w:p>
        </w:tc>
        <w:tc>
          <w:tcPr/>
          <w:p>
            <w:pPr>
              <w:pStyle w:val="Compact"/>
              <w:jc w:val="right"/>
            </w:pPr>
            <m:oMath>
              <m:r>
                <m:t>2.81</m:t>
              </m:r>
              <m:r>
                <m:t>B</m:t>
              </m:r>
              <m:r>
                <m:rPr>
                  <m:sty m:val="p"/>
                </m:rPr>
                <m:t>–</m:t>
              </m:r>
            </m:oMath>
            <w:r>
              <w:rPr>
                <w:b/>
                <w:bCs/>
              </w:rPr>
              <w:t xml:space="preserve">2.82B</w:t>
            </w:r>
          </w:p>
        </w:tc>
        <w:tc>
          <w:tcPr/>
          <w:p>
            <w:pPr>
              <w:pStyle w:val="Compact"/>
              <w:jc w:val="right"/>
            </w:pPr>
            <w:r>
              <w:t xml:space="preserve">$2.44B</w:t>
            </w:r>
          </w:p>
        </w:tc>
        <w:tc>
          <w:tcPr/>
          <w:p>
            <w:pPr>
              <w:pStyle w:val="Compact"/>
              <w:jc w:val="right"/>
            </w:pPr>
            <w:r>
              <w:t xml:space="preserve">15%–16%</w:t>
            </w:r>
          </w:p>
        </w:tc>
      </w:tr>
      <w:tr>
        <w:tc>
          <w:tcPr/>
          <w:p>
            <w:pPr>
              <w:pStyle w:val="Compact"/>
            </w:pPr>
            <w:r>
              <w:t xml:space="preserve">Adjusted EPS</w:t>
            </w:r>
          </w:p>
        </w:tc>
        <w:tc>
          <w:tcPr/>
          <w:p>
            <w:pPr>
              <w:pStyle w:val="Compact"/>
              <w:jc w:val="right"/>
            </w:pPr>
            <m:oMath>
              <m:r>
                <m:t>2.41</m:t>
              </m:r>
              <m:r>
                <m:rPr>
                  <m:sty m:val="p"/>
                </m:rPr>
                <m:t>–</m:t>
              </m:r>
            </m:oMath>
            <w:r>
              <w:rPr>
                <w:b/>
                <w:bCs/>
              </w:rPr>
              <w:t xml:space="preserve">2.48</w:t>
            </w:r>
          </w:p>
        </w:tc>
        <w:tc>
          <w:tcPr/>
          <w:p>
            <w:pPr>
              <w:pStyle w:val="Compact"/>
              <w:jc w:val="right"/>
            </w:pPr>
            <w:r>
              <w:t xml:space="preserve">$2.19</w:t>
            </w:r>
          </w:p>
        </w:tc>
        <w:tc>
          <w:tcPr/>
          <w:p>
            <w:pPr>
              <w:pStyle w:val="Compact"/>
              <w:jc w:val="right"/>
            </w:pPr>
            <w:r>
              <w:t xml:space="preserve">10%–13%</w:t>
            </w:r>
          </w:p>
        </w:tc>
      </w:tr>
    </w:tbl>
    <w:p>
      <w:pPr>
        <w:pStyle w:val="BodyText"/>
      </w:pPr>
      <w:r>
        <w:t xml:space="preserve">Zacks places consensus at $2.81 billion and $2.48, while Benzinga lists $2.82 billion and $2.41. (</w:t>
      </w:r>
      <w:hyperlink r:id="rId11">
        <w:r>
          <w:rPr>
            <w:rStyle w:val="Hyperlink"/>
          </w:rPr>
          <w:t xml:space="preserve">tradingview.com</w:t>
        </w:r>
      </w:hyperlink>
      <w:r>
        <w:t xml:space="preserve">)</w:t>
      </w:r>
    </w:p>
    <w:p>
      <w:pPr>
        <w:pStyle w:val="BodyText"/>
      </w:pPr>
      <w:r>
        <w:t xml:space="preserve">The comparison is not especially difficult financially: Q2 2025 revenue grew 21%, adjusted EPS was $2.19, da Vinci procedures grew 17%, and the company placed 395 da Vinci systems, including 180 da Vinci 5 systems. (</w:t>
      </w:r>
      <w:hyperlink r:id="rId13">
        <w:r>
          <w:rPr>
            <w:rStyle w:val="Hyperlink"/>
          </w:rPr>
          <w:t xml:space="preserve">isrg.gcs-web.com</w:t>
        </w:r>
      </w:hyperlink>
      <w:r>
        <w:t xml:space="preserve">)</w:t>
      </w:r>
    </w:p>
    <w:p>
      <w:pPr>
        <w:pStyle w:val="BodyText"/>
      </w:pPr>
      <w:r>
        <w:t xml:space="preserve">However, Q1 2026 set a high near-term bar. ISRG reported $2.77 billion of revenue, $2.50 of adjusted EPS, a 67.8% adjusted gross margin and 431 da Vinci placements, including 232 da Vinci 5 systems. (</w:t>
      </w:r>
      <w:hyperlink r:id="rId14">
        <w:r>
          <w:rPr>
            <w:rStyle w:val="Hyperlink"/>
          </w:rPr>
          <w:t xml:space="preserve">isrg.gcs-web.com</w:t>
        </w:r>
      </w:hyperlink>
      <w:r>
        <w:t xml:space="preserve">)</w:t>
      </w:r>
    </w:p>
    <w:p>
      <w:r>
        <w:pict>
          <v:rect style="width:0;height:1.5pt" o:hralign="center" o:hrstd="t" o:hr="t"/>
        </w:pict>
      </w:r>
    </w:p>
    <w:bookmarkEnd w:id="15"/>
    <w:bookmarkStart w:id="26" w:name="what-matters-most"/>
    <w:p>
      <w:pPr>
        <w:pStyle w:val="Heading2"/>
      </w:pPr>
      <w:r>
        <w:t xml:space="preserve">What matters most</w:t>
      </w:r>
    </w:p>
    <w:bookmarkStart w:id="16" w:name="Xdacafdee4cef34ca6cc7c1478e0a838ad1a4c22"/>
    <w:p>
      <w:pPr>
        <w:pStyle w:val="Heading3"/>
      </w:pPr>
      <w:r>
        <w:t xml:space="preserve">1. Procedure growth—and the HCA read-through</w:t>
      </w:r>
    </w:p>
    <w:p>
      <w:pPr>
        <w:pStyle w:val="FirstParagraph"/>
      </w:pPr>
      <w:r>
        <w:t xml:space="preserve">ISRG’s economic engine remains procedure volume. Procedures create instruments-and-accessories revenue, stimulate service revenue and eventually drive demand for additional systems.</w:t>
      </w:r>
    </w:p>
    <w:p>
      <w:pPr>
        <w:pStyle w:val="BodyText"/>
      </w:pPr>
      <w:r>
        <w:t xml:space="preserve">Management’s current full-year da Vinci procedure-growth outlook is</w:t>
      </w:r>
      <w:r>
        <w:t xml:space="preserve"> </w:t>
      </w:r>
      <w:r>
        <w:rPr>
          <w:b/>
          <w:bCs/>
        </w:rPr>
        <w:t xml:space="preserve">13.5%–15.5%</w:t>
      </w:r>
      <w:r>
        <w:t xml:space="preserve">, raised from 13%–15% after Q1. Q1 da Vinci growth of 16% put ISRG ahead of that annual range. (</w:t>
      </w:r>
      <w:hyperlink r:id="rId14">
        <w:r>
          <w:rPr>
            <w:rStyle w:val="Hyperlink"/>
          </w:rPr>
          <w:t xml:space="preserve">isrg.gcs-web.com</w:t>
        </w:r>
      </w:hyperlink>
      <w:r>
        <w:t xml:space="preserve">)</w:t>
      </w:r>
    </w:p>
    <w:p>
      <w:pPr>
        <w:pStyle w:val="BodyText"/>
      </w:pPr>
      <w:r>
        <w:t xml:space="preserve">The most important Q2 number is therefore likely to be:</w:t>
      </w:r>
    </w:p>
    <w:p>
      <w:pPr>
        <w:pStyle w:val="BlockText"/>
      </w:pPr>
      <w:r>
        <w:rPr>
          <w:b/>
          <w:bCs/>
        </w:rPr>
        <w:t xml:space="preserve">Can da Vinci procedure growth remain near 15%–16%, or did U.S. surgical demand weaken materially during the quarter?</w:t>
      </w:r>
    </w:p>
    <w:p>
      <w:pPr>
        <w:pStyle w:val="FirstParagraph"/>
      </w:pPr>
      <w:r>
        <w:t xml:space="preserve">The recent HCA warning makes this question more urgent. On the positive side, ISRG’s Q1 U.S. growth was supported by general surgery, acute procedures and a 31% increase in after-hours procedures. Those categories may be more resilient than purely elective surgery. Conversely, a broad hospital-volume slowdown could affect both procedures and capital purchases.</w:t>
      </w:r>
    </w:p>
    <w:p>
      <w:pPr>
        <w:pStyle w:val="BodyText"/>
      </w:pPr>
      <w:r>
        <w:rPr>
          <w:b/>
          <w:bCs/>
        </w:rPr>
        <w:t xml:space="preserve">Interpretation:</w:t>
      </w:r>
    </w:p>
    <w:p>
      <w:pPr>
        <w:pStyle w:val="Compact"/>
        <w:numPr>
          <w:ilvl w:val="0"/>
          <w:numId w:val="1002"/>
        </w:numPr>
      </w:pPr>
      <w:r>
        <w:rPr>
          <w:b/>
          <w:bCs/>
        </w:rPr>
        <w:t xml:space="preserve">16% or better:</w:t>
      </w:r>
      <w:r>
        <w:t xml:space="preserve"> </w:t>
      </w:r>
      <w:r>
        <w:t xml:space="preserve">Strong evidence that ISRG is outperforming the broader surgical environment; supports a guidance increase.</w:t>
      </w:r>
    </w:p>
    <w:p>
      <w:pPr>
        <w:pStyle w:val="Compact"/>
        <w:numPr>
          <w:ilvl w:val="0"/>
          <w:numId w:val="1002"/>
        </w:numPr>
      </w:pPr>
      <w:r>
        <w:rPr>
          <w:b/>
          <w:bCs/>
        </w:rPr>
        <w:t xml:space="preserve">14%–15%:</w:t>
      </w:r>
      <w:r>
        <w:t xml:space="preserve"> </w:t>
      </w:r>
      <w:r>
        <w:t xml:space="preserve">Adequate, particularly if management remains confident in the existing annual range.</w:t>
      </w:r>
    </w:p>
    <w:p>
      <w:pPr>
        <w:pStyle w:val="Compact"/>
        <w:numPr>
          <w:ilvl w:val="0"/>
          <w:numId w:val="1002"/>
        </w:numPr>
      </w:pPr>
      <w:r>
        <w:rPr>
          <w:b/>
          <w:bCs/>
        </w:rPr>
        <w:t xml:space="preserve">Below 14%:</w:t>
      </w:r>
      <w:r>
        <w:t xml:space="preserve"> </w:t>
      </w:r>
      <w:r>
        <w:t xml:space="preserve">Likely to raise concerns that the full-year forecast needs to move toward its low end.</w:t>
      </w:r>
    </w:p>
    <w:p>
      <w:pPr>
        <w:pStyle w:val="FirstParagraph"/>
      </w:pPr>
      <w:r>
        <w:t xml:space="preserve">Investors should also separate</w:t>
      </w:r>
      <w:r>
        <w:t xml:space="preserve"> </w:t>
      </w:r>
      <w:r>
        <w:rPr>
          <w:b/>
          <w:bCs/>
        </w:rPr>
        <w:t xml:space="preserve">da Vinci procedure growth</w:t>
      </w:r>
      <w:r>
        <w:t xml:space="preserve"> </w:t>
      </w:r>
      <w:r>
        <w:t xml:space="preserve">from the combined da Vinci/Ion figure. Ion is growing much faster from a smaller base and can make total procedure growth look somewhat stronger.</w:t>
      </w:r>
    </w:p>
    <w:p>
      <w:r>
        <w:pict>
          <v:rect style="width:0;height:1.5pt" o:hralign="center" o:hrstd="t" o:hr="t"/>
        </w:pict>
      </w:r>
    </w:p>
    <w:bookmarkEnd w:id="16"/>
    <w:bookmarkStart w:id="18" w:name="X83c66c9d59c2cd6dd4be93ae2533ba04123b409"/>
    <w:p>
      <w:pPr>
        <w:pStyle w:val="Heading3"/>
      </w:pPr>
      <w:r>
        <w:t xml:space="preserve">2. da Vinci 5 utilization, placements and upgrade economics</w:t>
      </w:r>
    </w:p>
    <w:p>
      <w:pPr>
        <w:pStyle w:val="FirstParagraph"/>
      </w:pPr>
      <w:r>
        <w:t xml:space="preserve">The da Vinci 5 rollout is doing more than adding capital revenue. In Q1:</w:t>
      </w:r>
    </w:p>
    <w:p>
      <w:pPr>
        <w:pStyle w:val="Compact"/>
        <w:numPr>
          <w:ilvl w:val="0"/>
          <w:numId w:val="1003"/>
        </w:numPr>
      </w:pPr>
      <w:r>
        <w:t xml:space="preserve">232 da Vinci 5 systems were placed.</w:t>
      </w:r>
    </w:p>
    <w:p>
      <w:pPr>
        <w:pStyle w:val="Compact"/>
        <w:numPr>
          <w:ilvl w:val="0"/>
          <w:numId w:val="1003"/>
        </w:numPr>
      </w:pPr>
      <w:r>
        <w:t xml:space="preserve">The installed base approached 1,500 systems.</w:t>
      </w:r>
    </w:p>
    <w:p>
      <w:pPr>
        <w:pStyle w:val="Compact"/>
        <w:numPr>
          <w:ilvl w:val="0"/>
          <w:numId w:val="1003"/>
        </w:numPr>
      </w:pPr>
      <w:r>
        <w:t xml:space="preserve">U.S. da Vinci 5 utilization was approximately 11% higher than Xi utilization.</w:t>
      </w:r>
    </w:p>
    <w:p>
      <w:pPr>
        <w:pStyle w:val="Compact"/>
        <w:numPr>
          <w:ilvl w:val="0"/>
          <w:numId w:val="1003"/>
        </w:numPr>
      </w:pPr>
      <w:r>
        <w:t xml:space="preserve">Trade-ins rose to 119 from 67 a year earlier.</w:t>
      </w:r>
    </w:p>
    <w:p>
      <w:pPr>
        <w:pStyle w:val="Compact"/>
        <w:numPr>
          <w:ilvl w:val="0"/>
          <w:numId w:val="1003"/>
        </w:numPr>
      </w:pPr>
      <w:r>
        <w:t xml:space="preserve">The purchased da Vinci 5 average selling price was approximately $1.7 million.</w:t>
      </w:r>
    </w:p>
    <w:p>
      <w:pPr>
        <w:pStyle w:val="Compact"/>
        <w:numPr>
          <w:ilvl w:val="0"/>
          <w:numId w:val="1003"/>
        </w:numPr>
      </w:pPr>
      <w:r>
        <w:t xml:space="preserve">da Vinci 5 contribution margins reached levels comparable with Xi.</w:t>
      </w:r>
    </w:p>
    <w:p>
      <w:pPr>
        <w:pStyle w:val="FirstParagraph"/>
      </w:pPr>
      <w:r>
        <w:t xml:space="preserve">This combination—higher pricing, more utilization, service revenue and trade-in activity—is the main reason ISRG’s revenue has recently grown faster than procedures.</w:t>
      </w:r>
    </w:p>
    <w:p>
      <w:pPr>
        <w:pStyle w:val="BodyText"/>
      </w:pPr>
      <w:r>
        <w:t xml:space="preserve">For Q2, the placement total is less important than the composition:</w:t>
      </w:r>
    </w:p>
    <w:p>
      <w:pPr>
        <w:pStyle w:val="Compact"/>
        <w:numPr>
          <w:ilvl w:val="0"/>
          <w:numId w:val="1004"/>
        </w:numPr>
      </w:pPr>
      <w:r>
        <w:rPr>
          <w:b/>
          <w:bCs/>
        </w:rPr>
        <w:t xml:space="preserve">How many da Vinci 5 systems were placed?</w:t>
      </w:r>
    </w:p>
    <w:p>
      <w:pPr>
        <w:pStyle w:val="Compact"/>
        <w:numPr>
          <w:ilvl w:val="0"/>
          <w:numId w:val="1004"/>
        </w:numPr>
      </w:pPr>
      <w:r>
        <w:rPr>
          <w:b/>
          <w:bCs/>
        </w:rPr>
        <w:t xml:space="preserve">How many were upgrades versus incremental installations?</w:t>
      </w:r>
    </w:p>
    <w:p>
      <w:pPr>
        <w:pStyle w:val="Compact"/>
        <w:numPr>
          <w:ilvl w:val="0"/>
          <w:numId w:val="1004"/>
        </w:numPr>
      </w:pPr>
      <w:r>
        <w:rPr>
          <w:b/>
          <w:bCs/>
        </w:rPr>
        <w:t xml:space="preserve">Is utilization remaining above Xi?</w:t>
      </w:r>
    </w:p>
    <w:p>
      <w:pPr>
        <w:pStyle w:val="Compact"/>
        <w:numPr>
          <w:ilvl w:val="0"/>
          <w:numId w:val="1004"/>
        </w:numPr>
      </w:pPr>
      <w:r>
        <w:rPr>
          <w:b/>
          <w:bCs/>
        </w:rPr>
        <w:t xml:space="preserve">Is the higher trade-in rate sustainable?</w:t>
      </w:r>
    </w:p>
    <w:p>
      <w:pPr>
        <w:pStyle w:val="Compact"/>
        <w:numPr>
          <w:ilvl w:val="0"/>
          <w:numId w:val="1004"/>
        </w:numPr>
      </w:pPr>
      <w:r>
        <w:rPr>
          <w:b/>
          <w:bCs/>
        </w:rPr>
        <w:t xml:space="preserve">Is leasing continuing to rise?</w:t>
      </w:r>
    </w:p>
    <w:p>
      <w:pPr>
        <w:pStyle w:val="FirstParagraph"/>
      </w:pPr>
      <w:r>
        <w:t xml:space="preserve">A quarter with strong da Vinci 5 adoption but somewhat softer total placements could still be constructive. Placements are inherently lumpy, while utilization is the better indicator of long-term recurring revenue.</w:t>
      </w:r>
    </w:p>
    <w:p>
      <w:pPr>
        <w:pStyle w:val="BodyText"/>
      </w:pPr>
      <w:r>
        <w:t xml:space="preserve">Management also announced more than 100 planned updates and user-experience improvements to da Vinci 5, extended uses for most Force Feedback instruments, and reported actual system uptime above 99%. These enhancements reinforce the platform’s differentiation, but investors will want evidence that they are translating into measurable utilization and customer economics. (</w:t>
      </w:r>
      <w:hyperlink r:id="rId17">
        <w:r>
          <w:rPr>
            <w:rStyle w:val="Hyperlink"/>
          </w:rPr>
          <w:t xml:space="preserve">isrg.gcs-web.com</w:t>
        </w:r>
      </w:hyperlink>
      <w:r>
        <w:t xml:space="preserve">)</w:t>
      </w:r>
    </w:p>
    <w:p>
      <w:r>
        <w:pict>
          <v:rect style="width:0;height:1.5pt" o:hralign="center" o:hrstd="t" o:hr="t"/>
        </w:pict>
      </w:r>
    </w:p>
    <w:bookmarkEnd w:id="18"/>
    <w:bookmarkStart w:id="19" w:name="Xc35285d06756639f90a0aed1990958510c521f7"/>
    <w:p>
      <w:pPr>
        <w:pStyle w:val="Heading3"/>
      </w:pPr>
      <w:r>
        <w:t xml:space="preserve">3. Instruments and accessories: watch revenue quality</w:t>
      </w:r>
    </w:p>
    <w:p>
      <w:pPr>
        <w:pStyle w:val="FirstParagraph"/>
      </w:pPr>
      <w:r>
        <w:t xml:space="preserve">Q1 instruments-and-accessories revenue rose 23% to $1.69 billion, well ahead of 16% da Vinci procedure growth. Management attributed the difference partly to:</w:t>
      </w:r>
    </w:p>
    <w:p>
      <w:pPr>
        <w:pStyle w:val="Compact"/>
        <w:numPr>
          <w:ilvl w:val="0"/>
          <w:numId w:val="1005"/>
        </w:numPr>
      </w:pPr>
      <w:r>
        <w:t xml:space="preserve">Customer ordering patterns.</w:t>
      </w:r>
    </w:p>
    <w:p>
      <w:pPr>
        <w:pStyle w:val="Compact"/>
        <w:numPr>
          <w:ilvl w:val="0"/>
          <w:numId w:val="1005"/>
        </w:numPr>
      </w:pPr>
      <w:r>
        <w:t xml:space="preserve">Distributor purchases and stocking.</w:t>
      </w:r>
    </w:p>
    <w:p>
      <w:pPr>
        <w:pStyle w:val="Compact"/>
        <w:numPr>
          <w:ilvl w:val="0"/>
          <w:numId w:val="1005"/>
        </w:numPr>
      </w:pPr>
      <w:r>
        <w:t xml:space="preserve">Foreign exchange.</w:t>
      </w:r>
    </w:p>
    <w:p>
      <w:pPr>
        <w:pStyle w:val="Compact"/>
        <w:numPr>
          <w:ilvl w:val="0"/>
          <w:numId w:val="1005"/>
        </w:numPr>
      </w:pPr>
      <w:r>
        <w:t xml:space="preserve">Higher da Vinci 5 and SP mix.</w:t>
      </w:r>
    </w:p>
    <w:p>
      <w:pPr>
        <w:pStyle w:val="Compact"/>
        <w:numPr>
          <w:ilvl w:val="0"/>
          <w:numId w:val="1005"/>
        </w:numPr>
      </w:pPr>
      <w:r>
        <w:t xml:space="preserve">Higher revenue per procedure.</w:t>
      </w:r>
    </w:p>
    <w:p>
      <w:pPr>
        <w:pStyle w:val="FirstParagraph"/>
      </w:pPr>
      <w:r>
        <w:t xml:space="preserve">Recurring revenue represented 86% of Q1 revenue, which remains an important strength. But the unusually large gap between procedure growth and instruments-and-accessories growth may not repeat.</w:t>
      </w:r>
    </w:p>
    <w:p>
      <w:pPr>
        <w:pStyle w:val="BodyText"/>
      </w:pPr>
      <w:r>
        <w:t xml:space="preserve">A healthier Q2 result would show:</w:t>
      </w:r>
    </w:p>
    <w:p>
      <w:pPr>
        <w:pStyle w:val="Compact"/>
        <w:numPr>
          <w:ilvl w:val="0"/>
          <w:numId w:val="1006"/>
        </w:numPr>
      </w:pPr>
      <w:r>
        <w:t xml:space="preserve">I&amp;A growth remaining above procedure growth for structural reasons such as product mix and pricing.</w:t>
      </w:r>
    </w:p>
    <w:p>
      <w:pPr>
        <w:pStyle w:val="Compact"/>
        <w:numPr>
          <w:ilvl w:val="0"/>
          <w:numId w:val="1006"/>
        </w:numPr>
      </w:pPr>
      <w:r>
        <w:t xml:space="preserve">Limited reversal of Q1 customer stocking.</w:t>
      </w:r>
    </w:p>
    <w:p>
      <w:pPr>
        <w:pStyle w:val="Compact"/>
        <w:numPr>
          <w:ilvl w:val="0"/>
          <w:numId w:val="1006"/>
        </w:numPr>
      </w:pPr>
      <w:r>
        <w:t xml:space="preserve">Continued higher revenue per procedure from da Vinci 5 and SP.</w:t>
      </w:r>
    </w:p>
    <w:p>
      <w:pPr>
        <w:pStyle w:val="Compact"/>
        <w:numPr>
          <w:ilvl w:val="0"/>
          <w:numId w:val="1006"/>
        </w:numPr>
      </w:pPr>
      <w:r>
        <w:t xml:space="preserve">No significant pricing deterioration in China or cost-sensitive U.S. ambulatory surgery centers.</w:t>
      </w:r>
    </w:p>
    <w:p>
      <w:pPr>
        <w:pStyle w:val="FirstParagraph"/>
      </w:pPr>
      <w:r>
        <w:t xml:space="preserve">A top-line miss caused mainly by the normalization of distributor orders would be less concerning than a miss caused by weak procedures. Investors should read the revenue bridge carefully.</w:t>
      </w:r>
    </w:p>
    <w:p>
      <w:r>
        <w:pict>
          <v:rect style="width:0;height:1.5pt" o:hralign="center" o:hrstd="t" o:hr="t"/>
        </w:pict>
      </w:r>
    </w:p>
    <w:bookmarkEnd w:id="19"/>
    <w:bookmarkStart w:id="20" w:name="X012575407e03b33503ac0854992977aa76a314f"/>
    <w:p>
      <w:pPr>
        <w:pStyle w:val="Heading3"/>
      </w:pPr>
      <w:r>
        <w:t xml:space="preserve">4. Gross margin and tariff exposure</w:t>
      </w:r>
    </w:p>
    <w:p>
      <w:pPr>
        <w:pStyle w:val="FirstParagraph"/>
      </w:pPr>
      <w:r>
        <w:t xml:space="preserve">Management currently expects a</w:t>
      </w:r>
      <w:r>
        <w:t xml:space="preserve"> </w:t>
      </w:r>
      <w:r>
        <w:rPr>
          <w:b/>
          <w:bCs/>
        </w:rPr>
        <w:t xml:space="preserve">2026 adjusted gross margin of 67.5%–68.5%</w:t>
      </w:r>
      <w:r>
        <w:t xml:space="preserve">, including approximately 100 basis points of tariff pressure. Q1 came in at 67.8%. (</w:t>
      </w:r>
      <w:hyperlink r:id="rId14">
        <w:r>
          <w:rPr>
            <w:rStyle w:val="Hyperlink"/>
          </w:rPr>
          <w:t xml:space="preserve">isrg.gcs-web.com</w:t>
        </w:r>
      </w:hyperlink>
      <w:r>
        <w:t xml:space="preserve">)</w:t>
      </w:r>
    </w:p>
    <w:p>
      <w:pPr>
        <w:pStyle w:val="BodyText"/>
      </w:pPr>
      <w:r>
        <w:t xml:space="preserve">Q1 benefited from strong fixed-cost leverage and product-cost reductions, but management warned that freight, oil-related inputs and semiconductor memory costs would become more unfavorable during the remainder of 2026.</w:t>
      </w:r>
    </w:p>
    <w:p>
      <w:pPr>
        <w:pStyle w:val="BodyText"/>
      </w:pPr>
      <w:r>
        <w:t xml:space="preserve">The margin debate is therefore balanced:</w:t>
      </w:r>
    </w:p>
    <w:p>
      <w:pPr>
        <w:pStyle w:val="BodyText"/>
      </w:pPr>
      <w:r>
        <w:rPr>
          <w:b/>
          <w:bCs/>
        </w:rPr>
        <w:t xml:space="preserve">Potential positives</w:t>
      </w:r>
    </w:p>
    <w:p>
      <w:pPr>
        <w:pStyle w:val="Compact"/>
        <w:numPr>
          <w:ilvl w:val="0"/>
          <w:numId w:val="1007"/>
        </w:numPr>
      </w:pPr>
      <w:r>
        <w:t xml:space="preserve">da Vinci 5 contribution margin has caught up with Xi.</w:t>
      </w:r>
    </w:p>
    <w:p>
      <w:pPr>
        <w:pStyle w:val="Compact"/>
        <w:numPr>
          <w:ilvl w:val="0"/>
          <w:numId w:val="1007"/>
        </w:numPr>
      </w:pPr>
      <w:r>
        <w:t xml:space="preserve">Ion contribution margin is close to the corporate average.</w:t>
      </w:r>
    </w:p>
    <w:p>
      <w:pPr>
        <w:pStyle w:val="Compact"/>
        <w:numPr>
          <w:ilvl w:val="0"/>
          <w:numId w:val="1007"/>
        </w:numPr>
      </w:pPr>
      <w:r>
        <w:t xml:space="preserve">Strong procedure and revenue growth provides fixed-cost leverage.</w:t>
      </w:r>
    </w:p>
    <w:p>
      <w:pPr>
        <w:pStyle w:val="Compact"/>
        <w:numPr>
          <w:ilvl w:val="0"/>
          <w:numId w:val="1007"/>
        </w:numPr>
      </w:pPr>
      <w:r>
        <w:t xml:space="preserve">Manufacturing scale and product-cost programs continue to mature.</w:t>
      </w:r>
    </w:p>
    <w:p>
      <w:pPr>
        <w:pStyle w:val="FirstParagraph"/>
      </w:pPr>
      <w:r>
        <w:rPr>
          <w:b/>
          <w:bCs/>
        </w:rPr>
        <w:t xml:space="preserve">Potential negatives</w:t>
      </w:r>
    </w:p>
    <w:p>
      <w:pPr>
        <w:pStyle w:val="Compact"/>
        <w:numPr>
          <w:ilvl w:val="0"/>
          <w:numId w:val="1008"/>
        </w:numPr>
      </w:pPr>
      <w:r>
        <w:t xml:space="preserve">Tariffs.</w:t>
      </w:r>
    </w:p>
    <w:p>
      <w:pPr>
        <w:pStyle w:val="Compact"/>
        <w:numPr>
          <w:ilvl w:val="0"/>
          <w:numId w:val="1008"/>
        </w:numPr>
      </w:pPr>
      <w:r>
        <w:t xml:space="preserve">Freight and memory inflation.</w:t>
      </w:r>
    </w:p>
    <w:p>
      <w:pPr>
        <w:pStyle w:val="Compact"/>
        <w:numPr>
          <w:ilvl w:val="0"/>
          <w:numId w:val="1008"/>
        </w:numPr>
      </w:pPr>
      <w:r>
        <w:t xml:space="preserve">Higher trade-in activity.</w:t>
      </w:r>
    </w:p>
    <w:p>
      <w:pPr>
        <w:pStyle w:val="Compact"/>
        <w:numPr>
          <w:ilvl w:val="0"/>
          <w:numId w:val="1008"/>
        </w:numPr>
      </w:pPr>
      <w:r>
        <w:t xml:space="preserve">Geographic and product mix.</w:t>
      </w:r>
    </w:p>
    <w:p>
      <w:pPr>
        <w:pStyle w:val="Compact"/>
        <w:numPr>
          <w:ilvl w:val="0"/>
          <w:numId w:val="1008"/>
        </w:numPr>
      </w:pPr>
      <w:r>
        <w:t xml:space="preserve">Competitive pricing, especially in China and cost-sensitive markets.</w:t>
      </w:r>
    </w:p>
    <w:p>
      <w:pPr>
        <w:pStyle w:val="FirstParagraph"/>
      </w:pPr>
      <w:r>
        <w:t xml:space="preserve">A Q2 adjusted gross margin around or above</w:t>
      </w:r>
      <w:r>
        <w:t xml:space="preserve"> </w:t>
      </w:r>
      <w:r>
        <w:rPr>
          <w:b/>
          <w:bCs/>
        </w:rPr>
        <w:t xml:space="preserve">68%</w:t>
      </w:r>
      <w:r>
        <w:t xml:space="preserve"> </w:t>
      </w:r>
      <w:r>
        <w:t xml:space="preserve">would be encouraging. A result below approximately</w:t>
      </w:r>
      <w:r>
        <w:t xml:space="preserve"> </w:t>
      </w:r>
      <w:r>
        <w:rPr>
          <w:b/>
          <w:bCs/>
        </w:rPr>
        <w:t xml:space="preserve">67.5%</w:t>
      </w:r>
      <w:r>
        <w:t xml:space="preserve">, accompanied by cautious second-half commentary, would likely overshadow an EPS beat.</w:t>
      </w:r>
    </w:p>
    <w:p>
      <w:r>
        <w:pict>
          <v:rect style="width:0;height:1.5pt" o:hralign="center" o:hrstd="t" o:hr="t"/>
        </w:pict>
      </w:r>
    </w:p>
    <w:bookmarkEnd w:id="20"/>
    <w:bookmarkStart w:id="24" w:name="X13b223f757a2cea5c63fe48b3aaeb1c53395ece"/>
    <w:p>
      <w:pPr>
        <w:pStyle w:val="Heading3"/>
      </w:pPr>
      <w:r>
        <w:t xml:space="preserve">5. International markets: Europe strong, China and Japan mixed</w:t>
      </w:r>
    </w:p>
    <w:p>
      <w:pPr>
        <w:pStyle w:val="FirstParagraph"/>
      </w:pPr>
      <w:r>
        <w:t xml:space="preserve">International procedure growth was 19% in Q1, with strength in India, Canada, the U.K., Korea and Taiwan. But China and Japan remain the major swing factors.</w:t>
      </w:r>
    </w:p>
    <w:bookmarkStart w:id="21" w:name="china"/>
    <w:p>
      <w:pPr>
        <w:pStyle w:val="Heading4"/>
      </w:pPr>
      <w:r>
        <w:t xml:space="preserve">China</w:t>
      </w:r>
    </w:p>
    <w:p>
      <w:pPr>
        <w:pStyle w:val="FirstParagraph"/>
      </w:pPr>
      <w:r>
        <w:t xml:space="preserve">The environment remains difficult because of:</w:t>
      </w:r>
    </w:p>
    <w:p>
      <w:pPr>
        <w:pStyle w:val="Compact"/>
        <w:numPr>
          <w:ilvl w:val="0"/>
          <w:numId w:val="1009"/>
        </w:numPr>
      </w:pPr>
      <w:r>
        <w:t xml:space="preserve">Low tender activity.</w:t>
      </w:r>
    </w:p>
    <w:p>
      <w:pPr>
        <w:pStyle w:val="Compact"/>
        <w:numPr>
          <w:ilvl w:val="0"/>
          <w:numId w:val="1009"/>
        </w:numPr>
      </w:pPr>
      <w:r>
        <w:t xml:space="preserve">Domestic robotic competitors.</w:t>
      </w:r>
    </w:p>
    <w:p>
      <w:pPr>
        <w:pStyle w:val="Compact"/>
        <w:numPr>
          <w:ilvl w:val="0"/>
          <w:numId w:val="1009"/>
        </w:numPr>
      </w:pPr>
      <w:r>
        <w:t xml:space="preserve">Policy-driven pricing pressure.</w:t>
      </w:r>
    </w:p>
    <w:p>
      <w:pPr>
        <w:pStyle w:val="Compact"/>
        <w:numPr>
          <w:ilvl w:val="0"/>
          <w:numId w:val="1009"/>
        </w:numPr>
      </w:pPr>
      <w:r>
        <w:t xml:space="preserve">Uncertain patient charge codes and reimbursement.</w:t>
      </w:r>
    </w:p>
    <w:p>
      <w:pPr>
        <w:pStyle w:val="FirstParagraph"/>
      </w:pPr>
      <w:r>
        <w:t xml:space="preserve">Management previously said it did not expect clarity on important Chinese reimbursement matters until 2027. Investors should not expect a sudden Q2 turnaround. The key is whether conditions are stabilizing or deteriorating further.</w:t>
      </w:r>
    </w:p>
    <w:bookmarkEnd w:id="21"/>
    <w:bookmarkStart w:id="22" w:name="japan"/>
    <w:p>
      <w:pPr>
        <w:pStyle w:val="Heading4"/>
      </w:pPr>
      <w:r>
        <w:t xml:space="preserve">Japan</w:t>
      </w:r>
    </w:p>
    <w:p>
      <w:pPr>
        <w:pStyle w:val="FirstParagraph"/>
      </w:pPr>
      <w:r>
        <w:t xml:space="preserve">Japan received several constructive policy changes effective in June 2026:</w:t>
      </w:r>
    </w:p>
    <w:p>
      <w:pPr>
        <w:pStyle w:val="Compact"/>
        <w:numPr>
          <w:ilvl w:val="0"/>
          <w:numId w:val="1010"/>
        </w:numPr>
      </w:pPr>
      <w:r>
        <w:t xml:space="preserve">Additional reimbursement for seven robotic procedures.</w:t>
      </w:r>
    </w:p>
    <w:p>
      <w:pPr>
        <w:pStyle w:val="Compact"/>
        <w:numPr>
          <w:ilvl w:val="0"/>
          <w:numId w:val="1010"/>
        </w:numPr>
      </w:pPr>
      <w:r>
        <w:t xml:space="preserve">Incentives for hospitals exceeding specified robotic procedure volumes.</w:t>
      </w:r>
    </w:p>
    <w:p>
      <w:pPr>
        <w:pStyle w:val="Compact"/>
        <w:numPr>
          <w:ilvl w:val="0"/>
          <w:numId w:val="1010"/>
        </w:numPr>
      </w:pPr>
      <w:r>
        <w:t xml:space="preserve">Premium reimbursement for robotic rectal resection.</w:t>
      </w:r>
    </w:p>
    <w:p>
      <w:pPr>
        <w:pStyle w:val="FirstParagraph"/>
      </w:pPr>
      <w:r>
        <w:t xml:space="preserve">Because these changes began late in Q2, they are unlikely to have a large immediate financial effect. Management’s comments about early hospital interest and the second-half placement pipeline will be more useful than the reported Q2 numbers.</w:t>
      </w:r>
    </w:p>
    <w:bookmarkEnd w:id="22"/>
    <w:bookmarkStart w:id="23" w:name="europe"/>
    <w:p>
      <w:pPr>
        <w:pStyle w:val="Heading4"/>
      </w:pPr>
      <w:r>
        <w:t xml:space="preserve">Europe</w:t>
      </w:r>
    </w:p>
    <w:p>
      <w:pPr>
        <w:pStyle w:val="FirstParagraph"/>
      </w:pPr>
      <w:r>
        <w:t xml:space="preserve">Europe was a source of placement strength in Q1, particularly the U.K., but management has continued to flag possible capital pressure from government budgets and shifting priorities. Investors should watch whether European capital demand held up after a strong Q1.</w:t>
      </w:r>
    </w:p>
    <w:p>
      <w:r>
        <w:pict>
          <v:rect style="width:0;height:1.5pt" o:hralign="center" o:hrstd="t" o:hr="t"/>
        </w:pict>
      </w:r>
    </w:p>
    <w:bookmarkEnd w:id="23"/>
    <w:bookmarkEnd w:id="24"/>
    <w:bookmarkStart w:id="25" w:name="Xf3107fe5074c0ebb13ceb77d135f5a0d273a183"/>
    <w:p>
      <w:pPr>
        <w:pStyle w:val="Heading3"/>
      </w:pPr>
      <w:r>
        <w:t xml:space="preserve">6. SP and Ion: small today, strategically important</w:t>
      </w:r>
    </w:p>
    <w:p>
      <w:pPr>
        <w:pStyle w:val="FirstParagraph"/>
      </w:pPr>
      <w:r>
        <w:t xml:space="preserve">Q1 SP procedures grew 68%, while Ion procedures grew 39%. These platforms are not yet as financially important as multi-port da Vinci, but they broaden ISRG’s addressable market and support its long-term growth case.</w:t>
      </w:r>
    </w:p>
    <w:p>
      <w:pPr>
        <w:pStyle w:val="BodyText"/>
      </w:pPr>
      <w:r>
        <w:t xml:space="preserve">For SP, watch:</w:t>
      </w:r>
    </w:p>
    <w:p>
      <w:pPr>
        <w:pStyle w:val="Compact"/>
        <w:numPr>
          <w:ilvl w:val="0"/>
          <w:numId w:val="1011"/>
        </w:numPr>
      </w:pPr>
      <w:r>
        <w:t xml:space="preserve">U.S. utilization following additional procedure clearances.</w:t>
      </w:r>
    </w:p>
    <w:p>
      <w:pPr>
        <w:pStyle w:val="Compact"/>
        <w:numPr>
          <w:ilvl w:val="0"/>
          <w:numId w:val="1011"/>
        </w:numPr>
      </w:pPr>
      <w:r>
        <w:t xml:space="preserve">Adoption of the SP stapler.</w:t>
      </w:r>
    </w:p>
    <w:p>
      <w:pPr>
        <w:pStyle w:val="Compact"/>
        <w:numPr>
          <w:ilvl w:val="0"/>
          <w:numId w:val="1011"/>
        </w:numPr>
      </w:pPr>
      <w:r>
        <w:t xml:space="preserve">Expansion in Korea, Europe, Japan and Taiwan.</w:t>
      </w:r>
    </w:p>
    <w:p>
      <w:pPr>
        <w:pStyle w:val="Compact"/>
        <w:numPr>
          <w:ilvl w:val="0"/>
          <w:numId w:val="1011"/>
        </w:numPr>
      </w:pPr>
      <w:r>
        <w:t xml:space="preserve">Progress in nipple-sparing mastectomy and other potentially market-expanding procedures.</w:t>
      </w:r>
    </w:p>
    <w:p>
      <w:pPr>
        <w:pStyle w:val="FirstParagraph"/>
      </w:pPr>
      <w:r>
        <w:t xml:space="preserve">For Ion, watch:</w:t>
      </w:r>
    </w:p>
    <w:p>
      <w:pPr>
        <w:pStyle w:val="Compact"/>
        <w:numPr>
          <w:ilvl w:val="0"/>
          <w:numId w:val="1012"/>
        </w:numPr>
      </w:pPr>
      <w:r>
        <w:t xml:space="preserve">Procedure growth relative to Q1’s 39%.</w:t>
      </w:r>
    </w:p>
    <w:p>
      <w:pPr>
        <w:pStyle w:val="Compact"/>
        <w:numPr>
          <w:ilvl w:val="0"/>
          <w:numId w:val="1012"/>
        </w:numPr>
      </w:pPr>
      <w:r>
        <w:t xml:space="preserve">System placements and international expansion.</w:t>
      </w:r>
    </w:p>
    <w:p>
      <w:pPr>
        <w:pStyle w:val="Compact"/>
        <w:numPr>
          <w:ilvl w:val="0"/>
          <w:numId w:val="1012"/>
        </w:numPr>
      </w:pPr>
      <w:r>
        <w:t xml:space="preserve">Progress toward integrated endobronchial ultrasound and rapid on-site tissue evaluation.</w:t>
      </w:r>
    </w:p>
    <w:p>
      <w:pPr>
        <w:pStyle w:val="Compact"/>
        <w:numPr>
          <w:ilvl w:val="0"/>
          <w:numId w:val="1012"/>
        </w:numPr>
      </w:pPr>
      <w:r>
        <w:t xml:space="preserve">Whether clinical evidence is helping accelerate hospital adoption.</w:t>
      </w:r>
    </w:p>
    <w:p>
      <w:pPr>
        <w:pStyle w:val="FirstParagraph"/>
      </w:pPr>
      <w:r>
        <w:t xml:space="preserve">The quarter would be stronger if Ion and SP maintain rapid growth without requiring disproportionate spending or depressing consolidated margins.</w:t>
      </w:r>
    </w:p>
    <w:p>
      <w:r>
        <w:pict>
          <v:rect style="width:0;height:1.5pt" o:hralign="center" o:hrstd="t" o:hr="t"/>
        </w:pict>
      </w:r>
    </w:p>
    <w:bookmarkEnd w:id="25"/>
    <w:bookmarkEnd w:id="26"/>
    <w:bookmarkStart w:id="27" w:name="guidance-will-drive-the-stock"/>
    <w:p>
      <w:pPr>
        <w:pStyle w:val="Heading2"/>
      </w:pPr>
      <w:r>
        <w:t xml:space="preserve">Guidance will drive the stock</w:t>
      </w:r>
    </w:p>
    <w:p>
      <w:pPr>
        <w:pStyle w:val="FirstParagraph"/>
      </w:pPr>
      <w:r>
        <w:t xml:space="preserve">Current 2026 guidance is:</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Metric</w:t>
            </w:r>
          </w:p>
        </w:tc>
        <w:tc>
          <w:tcPr/>
          <w:p>
            <w:pPr>
              <w:pStyle w:val="Compact"/>
              <w:jc w:val="right"/>
            </w:pPr>
            <w:r>
              <w:t xml:space="preserve">Current outlook</w:t>
            </w:r>
          </w:p>
        </w:tc>
      </w:tr>
      <w:tr>
        <w:tc>
          <w:tcPr/>
          <w:p>
            <w:pPr>
              <w:pStyle w:val="Compact"/>
            </w:pPr>
            <w:r>
              <w:t xml:space="preserve">Da Vinci procedure growth</w:t>
            </w:r>
          </w:p>
        </w:tc>
        <w:tc>
          <w:tcPr/>
          <w:p>
            <w:pPr>
              <w:pStyle w:val="Compact"/>
              <w:jc w:val="right"/>
            </w:pPr>
            <w:r>
              <w:rPr>
                <w:b/>
                <w:bCs/>
              </w:rPr>
              <w:t xml:space="preserve">13.5%–15.5%</w:t>
            </w:r>
          </w:p>
        </w:tc>
      </w:tr>
      <w:tr>
        <w:tc>
          <w:tcPr/>
          <w:p>
            <w:pPr>
              <w:pStyle w:val="Compact"/>
            </w:pPr>
            <w:r>
              <w:t xml:space="preserve">Adjusted gross margin</w:t>
            </w:r>
          </w:p>
        </w:tc>
        <w:tc>
          <w:tcPr/>
          <w:p>
            <w:pPr>
              <w:pStyle w:val="Compact"/>
              <w:jc w:val="right"/>
            </w:pPr>
            <w:r>
              <w:rPr>
                <w:b/>
                <w:bCs/>
              </w:rPr>
              <w:t xml:space="preserve">67.5%–68.5%</w:t>
            </w:r>
          </w:p>
        </w:tc>
      </w:tr>
      <w:tr>
        <w:tc>
          <w:tcPr/>
          <w:p>
            <w:pPr>
              <w:pStyle w:val="Compact"/>
            </w:pPr>
            <w:r>
              <w:t xml:space="preserve">Adjusted operating-expense growth</w:t>
            </w:r>
          </w:p>
        </w:tc>
        <w:tc>
          <w:tcPr/>
          <w:p>
            <w:pPr>
              <w:pStyle w:val="Compact"/>
              <w:jc w:val="right"/>
            </w:pPr>
            <w:r>
              <w:rPr>
                <w:b/>
                <w:bCs/>
              </w:rPr>
              <w:t xml:space="preserve">11%–14%</w:t>
            </w:r>
          </w:p>
        </w:tc>
      </w:tr>
      <w:tr>
        <w:tc>
          <w:tcPr/>
          <w:p>
            <w:pPr>
              <w:pStyle w:val="Compact"/>
            </w:pPr>
            <w:r>
              <w:t xml:space="preserve">Stock-based compensation</w:t>
            </w:r>
          </w:p>
        </w:tc>
        <w:tc>
          <w:tcPr/>
          <w:p>
            <w:pPr>
              <w:pStyle w:val="Compact"/>
              <w:jc w:val="right"/>
            </w:pPr>
            <m:oMath>
              <m:r>
                <m:t>890</m:t>
              </m:r>
              <m:r>
                <m:t>M</m:t>
              </m:r>
              <m:r>
                <m:rPr>
                  <m:sty m:val="p"/>
                </m:rPr>
                <m:t>–</m:t>
              </m:r>
            </m:oMath>
            <w:r>
              <w:t xml:space="preserve">920M</w:t>
            </w:r>
          </w:p>
        </w:tc>
      </w:tr>
      <w:tr>
        <w:tc>
          <w:tcPr/>
          <w:p>
            <w:pPr>
              <w:pStyle w:val="Compact"/>
            </w:pPr>
            <w:r>
              <w:t xml:space="preserve">Other income</w:t>
            </w:r>
          </w:p>
        </w:tc>
        <w:tc>
          <w:tcPr/>
          <w:p>
            <w:pPr>
              <w:pStyle w:val="Compact"/>
              <w:jc w:val="right"/>
            </w:pPr>
            <m:oMath>
              <m:r>
                <m:t>315</m:t>
              </m:r>
              <m:r>
                <m:t>M</m:t>
              </m:r>
              <m:r>
                <m:rPr>
                  <m:sty m:val="p"/>
                </m:rPr>
                <m:t>–</m:t>
              </m:r>
            </m:oMath>
            <w:r>
              <w:t xml:space="preserve">335M</w:t>
            </w:r>
          </w:p>
        </w:tc>
      </w:tr>
      <w:tr>
        <w:tc>
          <w:tcPr/>
          <w:p>
            <w:pPr>
              <w:pStyle w:val="Compact"/>
            </w:pPr>
            <w:r>
              <w:t xml:space="preserve">Adjusted tax rate</w:t>
            </w:r>
          </w:p>
        </w:tc>
        <w:tc>
          <w:tcPr/>
          <w:p>
            <w:pPr>
              <w:pStyle w:val="Compact"/>
              <w:jc w:val="right"/>
            </w:pPr>
            <w:r>
              <w:t xml:space="preserve">22%–23%</w:t>
            </w:r>
          </w:p>
        </w:tc>
      </w:tr>
    </w:tbl>
    <w:p>
      <w:pPr>
        <w:pStyle w:val="BodyText"/>
      </w:pPr>
      <w:r>
        <w:t xml:space="preserve">The procedure outlook is the most likely item to move. After a 16% Q1, another quarter near 16% would make the current midpoint look conservative. But management may hesitate to raise guidance aggressively because of hospital-volume uncertainty, China, Japan, tariffs and tough second-half comparisons.</w:t>
      </w:r>
    </w:p>
    <w:p>
      <w:pPr>
        <w:pStyle w:val="BodyText"/>
      </w:pPr>
      <w:r>
        <w:t xml:space="preserve">A simple reaffirmation could be interpreted in two ways:</w:t>
      </w:r>
    </w:p>
    <w:p>
      <w:pPr>
        <w:pStyle w:val="Compact"/>
        <w:numPr>
          <w:ilvl w:val="0"/>
          <w:numId w:val="1013"/>
        </w:numPr>
      </w:pPr>
      <w:r>
        <w:rPr>
          <w:b/>
          <w:bCs/>
        </w:rPr>
        <w:t xml:space="preserve">Constructively</w:t>
      </w:r>
      <w:r>
        <w:t xml:space="preserve">, if Q2 is strong and management explains that the range retains macroeconomic conservatism.</w:t>
      </w:r>
    </w:p>
    <w:p>
      <w:pPr>
        <w:pStyle w:val="Compact"/>
        <w:numPr>
          <w:ilvl w:val="0"/>
          <w:numId w:val="1013"/>
        </w:numPr>
      </w:pPr>
      <w:r>
        <w:rPr>
          <w:b/>
          <w:bCs/>
        </w:rPr>
        <w:t xml:space="preserve">Negatively</w:t>
      </w:r>
      <w:r>
        <w:t xml:space="preserve">, if Q2 procedure growth slows and the company emphasizes risks to the lower end.</w:t>
      </w:r>
    </w:p>
    <w:p>
      <w:pPr>
        <w:pStyle w:val="FirstParagraph"/>
      </w:pPr>
      <w:r>
        <w:t xml:space="preserve">Gross-margin guidance is the next most important item. A procedure-guidance increase paired with a margin reduction would be a mixed result.</w:t>
      </w:r>
    </w:p>
    <w:p>
      <w:r>
        <w:pict>
          <v:rect style="width:0;height:1.5pt" o:hralign="center" o:hrstd="t" o:hr="t"/>
        </w:pict>
      </w:r>
    </w:p>
    <w:bookmarkEnd w:id="27"/>
    <w:bookmarkStart w:id="28" w:name="capital-allocation"/>
    <w:p>
      <w:pPr>
        <w:pStyle w:val="Heading2"/>
      </w:pPr>
      <w:r>
        <w:t xml:space="preserve">Capital allocation</w:t>
      </w:r>
    </w:p>
    <w:p>
      <w:pPr>
        <w:pStyle w:val="FirstParagraph"/>
      </w:pPr>
      <w:r>
        <w:t xml:space="preserve">ISRG ended Q1 with nearly $8 billion of cash and investments after repurchasing</w:t>
      </w:r>
      <w:r>
        <w:t xml:space="preserve"> </w:t>
      </w:r>
      <m:oMath>
        <m:r>
          <m:t>1.1</m:t>
        </m:r>
        <m:r>
          <m:t>b</m:t>
        </m:r>
        <m:r>
          <m:t>i</m:t>
        </m:r>
        <m:r>
          <m:t>l</m:t>
        </m:r>
        <m:r>
          <m:t>l</m:t>
        </m:r>
        <m:r>
          <m:t>i</m:t>
        </m:r>
        <m:r>
          <m:t>o</m:t>
        </m:r>
        <m:r>
          <m:t>n</m:t>
        </m:r>
        <m:r>
          <m:t>o</m:t>
        </m:r>
        <m:r>
          <m:t>f</m:t>
        </m:r>
        <m:r>
          <m:t>s</m:t>
        </m:r>
        <m:r>
          <m:t>t</m:t>
        </m:r>
        <m:r>
          <m:t>o</m:t>
        </m:r>
        <m:r>
          <m:t>c</m:t>
        </m:r>
        <m:r>
          <m:t>k</m:t>
        </m:r>
        <m:r>
          <m:rPr>
            <m:sty m:val="p"/>
          </m:rPr>
          <m:t>.</m:t>
        </m:r>
        <m:r>
          <m:t>I</m:t>
        </m:r>
        <m:r>
          <m:t>n</m:t>
        </m:r>
        <m:r>
          <m:t>A</m:t>
        </m:r>
        <m:r>
          <m:t>p</m:t>
        </m:r>
        <m:r>
          <m:t>r</m:t>
        </m:r>
        <m:r>
          <m:t>i</m:t>
        </m:r>
        <m:r>
          <m:t>l</m:t>
        </m:r>
        <m:r>
          <m:rPr>
            <m:sty m:val="p"/>
          </m:rPr>
          <m:t>,</m:t>
        </m:r>
        <m:r>
          <m:t>t</m:t>
        </m:r>
        <m:r>
          <m:t>h</m:t>
        </m:r>
        <m:r>
          <m:t>e</m:t>
        </m:r>
        <m:r>
          <m:t>b</m:t>
        </m:r>
        <m:r>
          <m:t>o</m:t>
        </m:r>
        <m:r>
          <m:t>a</m:t>
        </m:r>
        <m:r>
          <m:t>r</m:t>
        </m:r>
        <m:r>
          <m:t>d</m:t>
        </m:r>
        <m:r>
          <m:t>i</m:t>
        </m:r>
        <m:r>
          <m:t>n</m:t>
        </m:r>
        <m:r>
          <m:t>c</m:t>
        </m:r>
        <m:r>
          <m:t>r</m:t>
        </m:r>
        <m:r>
          <m:t>e</m:t>
        </m:r>
        <m:r>
          <m:t>a</m:t>
        </m:r>
        <m:r>
          <m:t>s</m:t>
        </m:r>
        <m:r>
          <m:t>e</m:t>
        </m:r>
        <m:r>
          <m:t>d</m:t>
        </m:r>
        <m:r>
          <m:t>t</m:t>
        </m:r>
        <m:r>
          <m:t>h</m:t>
        </m:r>
        <m:r>
          <m:t>e</m:t>
        </m:r>
        <m:r>
          <m:t>t</m:t>
        </m:r>
        <m:r>
          <m:t>o</m:t>
        </m:r>
        <m:r>
          <m:t>t</m:t>
        </m:r>
        <m:r>
          <m:t>a</m:t>
        </m:r>
        <m:r>
          <m:t>l</m:t>
        </m:r>
        <m:r>
          <m:t>r</m:t>
        </m:r>
        <m:r>
          <m:t>e</m:t>
        </m:r>
        <m:r>
          <m:t>p</m:t>
        </m:r>
        <m:r>
          <m:t>u</m:t>
        </m:r>
        <m:r>
          <m:t>r</m:t>
        </m:r>
        <m:r>
          <m:t>c</m:t>
        </m:r>
        <m:r>
          <m:t>h</m:t>
        </m:r>
        <m:r>
          <m:t>a</m:t>
        </m:r>
        <m:r>
          <m:t>s</m:t>
        </m:r>
        <m:r>
          <m:t>e</m:t>
        </m:r>
        <m:r>
          <m:t>a</m:t>
        </m:r>
        <m:r>
          <m:t>u</m:t>
        </m:r>
        <m:r>
          <m:t>t</m:t>
        </m:r>
        <m:r>
          <m:t>h</m:t>
        </m:r>
        <m:r>
          <m:t>o</m:t>
        </m:r>
        <m:r>
          <m:t>r</m:t>
        </m:r>
        <m:r>
          <m:t>i</m:t>
        </m:r>
        <m:r>
          <m:t>z</m:t>
        </m:r>
        <m:r>
          <m:t>a</m:t>
        </m:r>
        <m:r>
          <m:t>t</m:t>
        </m:r>
        <m:r>
          <m:t>i</m:t>
        </m:r>
        <m:r>
          <m:t>o</m:t>
        </m:r>
        <m:r>
          <m:t>n</m:t>
        </m:r>
        <m:r>
          <m:t>t</m:t>
        </m:r>
        <m:r>
          <m:t>o</m:t>
        </m:r>
        <m:r>
          <m:rPr>
            <m:sty m:val="p"/>
          </m:rPr>
          <m:t>*</m:t>
        </m:r>
        <m:r>
          <m:rPr>
            <m:sty m:val="p"/>
          </m:rPr>
          <m:t>*</m:t>
        </m:r>
      </m:oMath>
      <w:r>
        <w:t xml:space="preserve">5 billion**. (</w:t>
      </w:r>
      <w:hyperlink r:id="rId14">
        <w:r>
          <w:rPr>
            <w:rStyle w:val="Hyperlink"/>
          </w:rPr>
          <w:t xml:space="preserve">isrg.gcs-web.com</w:t>
        </w:r>
      </w:hyperlink>
      <w:r>
        <w:t xml:space="preserve">)</w:t>
      </w:r>
    </w:p>
    <w:p>
      <w:pPr>
        <w:pStyle w:val="BodyText"/>
      </w:pPr>
      <w:r>
        <w:t xml:space="preserve">With the stock substantially below its Q1 repurchase levels, investors should watch:</w:t>
      </w:r>
    </w:p>
    <w:p>
      <w:pPr>
        <w:pStyle w:val="Compact"/>
        <w:numPr>
          <w:ilvl w:val="0"/>
          <w:numId w:val="1014"/>
        </w:numPr>
      </w:pPr>
      <w:r>
        <w:t xml:space="preserve">Q2 repurchase spending.</w:t>
      </w:r>
    </w:p>
    <w:p>
      <w:pPr>
        <w:pStyle w:val="Compact"/>
        <w:numPr>
          <w:ilvl w:val="0"/>
          <w:numId w:val="1014"/>
        </w:numPr>
      </w:pPr>
      <w:r>
        <w:t xml:space="preserve">Whether management became more aggressive during the June/July decline.</w:t>
      </w:r>
    </w:p>
    <w:p>
      <w:pPr>
        <w:pStyle w:val="Compact"/>
        <w:numPr>
          <w:ilvl w:val="0"/>
          <w:numId w:val="1014"/>
        </w:numPr>
      </w:pPr>
      <w:r>
        <w:t xml:space="preserve">The balance between buybacks, manufacturing expansion and acquisitions.</w:t>
      </w:r>
    </w:p>
    <w:p>
      <w:pPr>
        <w:pStyle w:val="FirstParagraph"/>
      </w:pPr>
      <w:r>
        <w:t xml:space="preserve">Buybacks do not change the operating thesis, but meaningful repurchases at lower prices could improve per-share earnings growth and signal management confidence.</w:t>
      </w:r>
    </w:p>
    <w:p>
      <w:r>
        <w:pict>
          <v:rect style="width:0;height:1.5pt" o:hralign="center" o:hrstd="t" o:hr="t"/>
        </w:pict>
      </w:r>
    </w:p>
    <w:bookmarkEnd w:id="28"/>
    <w:bookmarkStart w:id="29" w:name="scenario-framework"/>
    <w:p>
      <w:pPr>
        <w:pStyle w:val="Heading2"/>
      </w:pPr>
      <w:r>
        <w:t xml:space="preserve">Scenario framework</w:t>
      </w:r>
    </w:p>
    <w:p>
      <w:pPr>
        <w:pStyle w:val="FirstParagraph"/>
      </w:pPr>
      <w:r>
        <w:t xml:space="preserve">The following are</w:t>
      </w:r>
      <w:r>
        <w:t xml:space="preserve"> </w:t>
      </w:r>
      <w:r>
        <w:rPr>
          <w:b/>
          <w:bCs/>
        </w:rPr>
        <w:t xml:space="preserve">my thresholds, not Street consensus</w:t>
      </w:r>
      <w:r>
        <w:t xml:space="preserve">:</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Scenario</w:t>
            </w:r>
          </w:p>
        </w:tc>
        <w:tc>
          <w:tcPr/>
          <w:p>
            <w:pPr>
              <w:pStyle w:val="Compact"/>
            </w:pPr>
            <w:r>
              <w:t xml:space="preserve">What it might look like</w:t>
            </w:r>
          </w:p>
        </w:tc>
        <w:tc>
          <w:tcPr/>
          <w:p>
            <w:pPr>
              <w:pStyle w:val="Compact"/>
            </w:pPr>
            <w:r>
              <w:t xml:space="preserve">Likely interpretation</w:t>
            </w:r>
          </w:p>
        </w:tc>
      </w:tr>
      <w:tr>
        <w:tc>
          <w:tcPr/>
          <w:p>
            <w:pPr>
              <w:pStyle w:val="Compact"/>
            </w:pPr>
            <w:r>
              <w:rPr>
                <w:b/>
                <w:bCs/>
              </w:rPr>
              <w:t xml:space="preserve">Bull</w:t>
            </w:r>
          </w:p>
        </w:tc>
        <w:tc>
          <w:tcPr/>
          <w:p>
            <w:pPr>
              <w:pStyle w:val="Compact"/>
            </w:pPr>
            <w:r>
              <w:t xml:space="preserve">Da Vinci procedures ≥16%; revenue above $2.9B; adjusted EPS above $2.55; gross margin ≥68%; procedure guidance raised</w:t>
            </w:r>
          </w:p>
        </w:tc>
        <w:tc>
          <w:tcPr/>
          <w:p>
            <w:pPr>
              <w:pStyle w:val="Compact"/>
            </w:pPr>
            <w:r>
              <w:t xml:space="preserve">Confirms ISRG-specific strength despite weaker hospital data; supports valuation stabilization or expansion</w:t>
            </w:r>
          </w:p>
        </w:tc>
      </w:tr>
      <w:tr>
        <w:tc>
          <w:tcPr/>
          <w:p>
            <w:pPr>
              <w:pStyle w:val="Compact"/>
            </w:pPr>
            <w:r>
              <w:rPr>
                <w:b/>
                <w:bCs/>
              </w:rPr>
              <w:t xml:space="preserve">Base</w:t>
            </w:r>
          </w:p>
        </w:tc>
        <w:tc>
          <w:tcPr/>
          <w:p>
            <w:pPr>
              <w:pStyle w:val="Compact"/>
            </w:pPr>
            <w:r>
              <w:t xml:space="preserve">Procedures 14.5%–15.5%; revenue</w:t>
            </w:r>
            <w:r>
              <w:t xml:space="preserve"> </w:t>
            </w:r>
            <m:oMath>
              <m:r>
                <m:t>2.80</m:t>
              </m:r>
              <m:r>
                <m:t>B</m:t>
              </m:r>
              <m:r>
                <m:rPr>
                  <m:sty m:val="p"/>
                </m:rPr>
                <m:t>–</m:t>
              </m:r>
            </m:oMath>
            <w:r>
              <w:t xml:space="preserve">2.88B; EPS</w:t>
            </w:r>
            <w:r>
              <w:t xml:space="preserve"> </w:t>
            </w:r>
            <m:oMath>
              <m:r>
                <m:t>2.42</m:t>
              </m:r>
              <m:r>
                <m:rPr>
                  <m:sty m:val="p"/>
                </m:rPr>
                <m:t>–</m:t>
              </m:r>
            </m:oMath>
            <w:r>
              <w:t xml:space="preserve">2.52; guidance maintained</w:t>
            </w:r>
          </w:p>
        </w:tc>
        <w:tc>
          <w:tcPr/>
          <w:p>
            <w:pPr>
              <w:pStyle w:val="Compact"/>
            </w:pPr>
            <w:r>
              <w:t xml:space="preserve">Solid execution, but stock reaction depends heavily on management’s tone and U.S. procedure commentary</w:t>
            </w:r>
          </w:p>
        </w:tc>
      </w:tr>
      <w:tr>
        <w:tc>
          <w:tcPr/>
          <w:p>
            <w:pPr>
              <w:pStyle w:val="Compact"/>
            </w:pPr>
            <w:r>
              <w:rPr>
                <w:b/>
                <w:bCs/>
              </w:rPr>
              <w:t xml:space="preserve">Bear</w:t>
            </w:r>
          </w:p>
        </w:tc>
        <w:tc>
          <w:tcPr/>
          <w:p>
            <w:pPr>
              <w:pStyle w:val="Compact"/>
            </w:pPr>
            <w:r>
              <w:t xml:space="preserve">Procedures ≤13.5%; revenue below $2.78B; gross margin below 67.5%; guidance lowered or framed toward low end</w:t>
            </w:r>
          </w:p>
        </w:tc>
        <w:tc>
          <w:tcPr/>
          <w:p>
            <w:pPr>
              <w:pStyle w:val="Compact"/>
            </w:pPr>
            <w:r>
              <w:t xml:space="preserve">Suggests hospital weakness is reaching ISRG and challenges the premium multiple</w:t>
            </w:r>
          </w:p>
        </w:tc>
      </w:tr>
    </w:tbl>
    <w:p>
      <w:r>
        <w:pict>
          <v:rect style="width:0;height:1.5pt" o:hralign="center" o:hrstd="t" o:hr="t"/>
        </w:pict>
      </w:r>
    </w:p>
    <w:bookmarkEnd w:id="29"/>
    <w:bookmarkStart w:id="30" w:name="questions-investors-should-want-answered"/>
    <w:p>
      <w:pPr>
        <w:pStyle w:val="Heading2"/>
      </w:pPr>
      <w:r>
        <w:t xml:space="preserve">Questions investors should want answered</w:t>
      </w:r>
    </w:p>
    <w:p>
      <w:pPr>
        <w:pStyle w:val="Compact"/>
        <w:numPr>
          <w:ilvl w:val="0"/>
          <w:numId w:val="1015"/>
        </w:numPr>
      </w:pPr>
      <w:r>
        <w:t xml:space="preserve">Did U.S. procedure growth weaken during June, and has that continued into July?</w:t>
      </w:r>
    </w:p>
    <w:p>
      <w:pPr>
        <w:pStyle w:val="Compact"/>
        <w:numPr>
          <w:ilvl w:val="0"/>
          <w:numId w:val="1015"/>
        </w:numPr>
      </w:pPr>
      <w:r>
        <w:t xml:space="preserve">Is da Vinci 5 utilization still approximately 11% above Xi?</w:t>
      </w:r>
    </w:p>
    <w:p>
      <w:pPr>
        <w:pStyle w:val="Compact"/>
        <w:numPr>
          <w:ilvl w:val="0"/>
          <w:numId w:val="1015"/>
        </w:numPr>
      </w:pPr>
      <w:r>
        <w:t xml:space="preserve">How much of Q1’s elevated instruments-and-accessories growth reflected orders pulled forward from Q2?</w:t>
      </w:r>
    </w:p>
    <w:p>
      <w:pPr>
        <w:pStyle w:val="Compact"/>
        <w:numPr>
          <w:ilvl w:val="0"/>
          <w:numId w:val="1015"/>
        </w:numPr>
      </w:pPr>
      <w:r>
        <w:t xml:space="preserve">Is management seeing any slowdown in hospital capital budgets?</w:t>
      </w:r>
    </w:p>
    <w:p>
      <w:pPr>
        <w:pStyle w:val="Compact"/>
        <w:numPr>
          <w:ilvl w:val="0"/>
          <w:numId w:val="1015"/>
        </w:numPr>
      </w:pPr>
      <w:r>
        <w:t xml:space="preserve">Has the China business stabilized, or are pricing and tender conditions getting worse?</w:t>
      </w:r>
    </w:p>
    <w:p>
      <w:pPr>
        <w:pStyle w:val="Compact"/>
        <w:numPr>
          <w:ilvl w:val="0"/>
          <w:numId w:val="1015"/>
        </w:numPr>
      </w:pPr>
      <w:r>
        <w:t xml:space="preserve">What early response has ISRG seen to Japan’s June reimbursement changes?</w:t>
      </w:r>
    </w:p>
    <w:p>
      <w:pPr>
        <w:pStyle w:val="Compact"/>
        <w:numPr>
          <w:ilvl w:val="0"/>
          <w:numId w:val="1015"/>
        </w:numPr>
      </w:pPr>
      <w:r>
        <w:t xml:space="preserve">Can adjusted gross margin remain within guidance despite higher freight, memory and tariff costs?</w:t>
      </w:r>
    </w:p>
    <w:p>
      <w:pPr>
        <w:pStyle w:val="Compact"/>
        <w:numPr>
          <w:ilvl w:val="0"/>
          <w:numId w:val="1015"/>
        </w:numPr>
      </w:pPr>
      <w:r>
        <w:t xml:space="preserve">How much stock did ISRG repurchase during Q2 and after the recent decline?</w:t>
      </w:r>
    </w:p>
    <w:p>
      <w:pPr>
        <w:pStyle w:val="Compact"/>
        <w:numPr>
          <w:ilvl w:val="0"/>
          <w:numId w:val="1015"/>
        </w:numPr>
      </w:pPr>
      <w:r>
        <w:t xml:space="preserve">Are Force Feedback instruments increasing revenue per procedure or primarily reducing customer cost?</w:t>
      </w:r>
    </w:p>
    <w:p>
      <w:pPr>
        <w:pStyle w:val="Compact"/>
        <w:numPr>
          <w:ilvl w:val="0"/>
          <w:numId w:val="1015"/>
        </w:numPr>
      </w:pPr>
      <w:r>
        <w:t xml:space="preserve">Is competition changing purchasing behavior, pricing or sales-cycle length in the U.S. or Europe?</w:t>
      </w:r>
    </w:p>
    <w:p>
      <w:r>
        <w:pict>
          <v:rect style="width:0;height:1.5pt" o:hralign="center" o:hrstd="t" o:hr="t"/>
        </w:pict>
      </w:r>
    </w:p>
    <w:bookmarkEnd w:id="30"/>
    <w:bookmarkStart w:id="31" w:name="bottom-line"/>
    <w:p>
      <w:pPr>
        <w:pStyle w:val="Heading2"/>
      </w:pPr>
      <w:r>
        <w:t xml:space="preserve">Bottom line</w:t>
      </w:r>
    </w:p>
    <w:p>
      <w:pPr>
        <w:pStyle w:val="FirstParagraph"/>
      </w:pPr>
      <w:r>
        <w:t xml:space="preserve">ISRG does not need another Q1-sized EPS surprise to deliver a credible quarter. It does need to demonstrate that its core procedure franchise remains resilient.</w:t>
      </w:r>
    </w:p>
    <w:p>
      <w:pPr>
        <w:pStyle w:val="BodyText"/>
      </w:pPr>
      <w:r>
        <w:t xml:space="preserve">The best result would combine:</w:t>
      </w:r>
    </w:p>
    <w:p>
      <w:pPr>
        <w:pStyle w:val="Compact"/>
        <w:numPr>
          <w:ilvl w:val="0"/>
          <w:numId w:val="1016"/>
        </w:numPr>
      </w:pPr>
      <w:r>
        <w:t xml:space="preserve">Da Vinci procedure growth near or above 16%.</w:t>
      </w:r>
    </w:p>
    <w:p>
      <w:pPr>
        <w:pStyle w:val="Compact"/>
        <w:numPr>
          <w:ilvl w:val="0"/>
          <w:numId w:val="1016"/>
        </w:numPr>
      </w:pPr>
      <w:r>
        <w:t xml:space="preserve">Continued da Vinci 5 utilization and upgrade momentum.</w:t>
      </w:r>
    </w:p>
    <w:p>
      <w:pPr>
        <w:pStyle w:val="Compact"/>
        <w:numPr>
          <w:ilvl w:val="0"/>
          <w:numId w:val="1016"/>
        </w:numPr>
      </w:pPr>
      <w:r>
        <w:t xml:space="preserve">Gross margin at least near 68%.</w:t>
      </w:r>
    </w:p>
    <w:p>
      <w:pPr>
        <w:pStyle w:val="Compact"/>
        <w:numPr>
          <w:ilvl w:val="0"/>
          <w:numId w:val="1016"/>
        </w:numPr>
      </w:pPr>
      <w:r>
        <w:t xml:space="preserve">A procedure-guidance increase without a margin reduction.</w:t>
      </w:r>
    </w:p>
    <w:p>
      <w:pPr>
        <w:pStyle w:val="Compact"/>
        <w:numPr>
          <w:ilvl w:val="0"/>
          <w:numId w:val="1016"/>
        </w:numPr>
      </w:pPr>
      <w:r>
        <w:t xml:space="preserve">Reassuring commentary on U.S. hospital volumes.</w:t>
      </w:r>
    </w:p>
    <w:p>
      <w:pPr>
        <w:pStyle w:val="FirstParagraph"/>
      </w:pPr>
      <w:r>
        <w:t xml:space="preserve">The principal risk is a quarter that meets headline EPS expectations but reveals weakening procedures, normalized recurring-revenue growth and a more cautious second-half outlook.</w:t>
      </w:r>
    </w:p>
    <w:p>
      <w:pPr>
        <w:pStyle w:val="BodyText"/>
      </w:pPr>
      <w:r>
        <w:t xml:space="preserve">After the stock’s roughly 31% year-to-date decline, the setup is more balanced. But at approximately 37 times the current 2026 EPS estimate,</w:t>
      </w:r>
      <w:r>
        <w:t xml:space="preserve"> </w:t>
      </w:r>
      <w:r>
        <w:rPr>
          <w:b/>
          <w:bCs/>
        </w:rPr>
        <w:t xml:space="preserve">“good enough” numbers may not be enough unless management also preserves confidence in durable mid-teens procedure growth</w:t>
      </w:r>
      <w:r>
        <w:t xml:space="preserve">.</w:t>
      </w:r>
    </w:p>
    <w:bookmarkEnd w:id="31"/>
    <w:bookmarkEnd w:id="32"/>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1"/>
  </w:num>
  <w:num w:numId="1003">
    <w:abstractNumId w:val="991"/>
  </w:num>
  <w:num w:numId="100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9" Target="https://isrg.gcs-web.com/events/event-details/q2-2026-intuitive-earnings-conference-call" TargetMode="External" /><Relationship Type="http://schemas.openxmlformats.org/officeDocument/2006/relationships/hyperlink" Id="rId14" Target="https://isrg.gcs-web.com/news-releases/news-release-details/intuitive-announces-first-quarter-earnings-7?utm_source=openai" TargetMode="External" /><Relationship Type="http://schemas.openxmlformats.org/officeDocument/2006/relationships/hyperlink" Id="rId17" Target="https://isrg.gcs-web.com/news-releases/news-release-details/intuitive-announces-innovations-advance-quintuple-aim" TargetMode="External" /><Relationship Type="http://schemas.openxmlformats.org/officeDocument/2006/relationships/hyperlink" Id="rId13" Target="https://isrg.gcs-web.com/news-releases/news-release-details/intuitive-announces-second-quarter-earnings-5?utm_source=openai" TargetMode="External" /><Relationship Type="http://schemas.openxmlformats.org/officeDocument/2006/relationships/hyperlink" Id="rId10" Target="https://www.investing.com/news/stock-market-news/medical-device-stocks-tumble-after-hca-flags-weak-surgical-volumes-93CH-4791474?utm_source=openai" TargetMode="External" /><Relationship Type="http://schemas.openxmlformats.org/officeDocument/2006/relationships/hyperlink" Id="rId11" Target="https://www.tradingview.com/news/zacks%3A7bd86c819094b%3A0-intuitive-surgical-pre-q2-analysis-buy-hold-or-sell-the-stock-now/" TargetMode="External" /></Relationships>
</file>

<file path=word/_rels/footnotes.xml.rels><?xml version="1.0" encoding="UTF-8"?><Relationships xmlns="http://schemas.openxmlformats.org/package/2006/relationships"><Relationship Type="http://schemas.openxmlformats.org/officeDocument/2006/relationships/hyperlink" Id="rId9" Target="https://isrg.gcs-web.com/events/event-details/q2-2026-intuitive-earnings-conference-call" TargetMode="External" /><Relationship Type="http://schemas.openxmlformats.org/officeDocument/2006/relationships/hyperlink" Id="rId14" Target="https://isrg.gcs-web.com/news-releases/news-release-details/intuitive-announces-first-quarter-earnings-7?utm_source=openai" TargetMode="External" /><Relationship Type="http://schemas.openxmlformats.org/officeDocument/2006/relationships/hyperlink" Id="rId17" Target="https://isrg.gcs-web.com/news-releases/news-release-details/intuitive-announces-innovations-advance-quintuple-aim" TargetMode="External" /><Relationship Type="http://schemas.openxmlformats.org/officeDocument/2006/relationships/hyperlink" Id="rId13" Target="https://isrg.gcs-web.com/news-releases/news-release-details/intuitive-announces-second-quarter-earnings-5?utm_source=openai" TargetMode="External" /><Relationship Type="http://schemas.openxmlformats.org/officeDocument/2006/relationships/hyperlink" Id="rId10" Target="https://www.investing.com/news/stock-market-news/medical-device-stocks-tumble-after-hca-flags-weak-surgical-volumes-93CH-4791474?utm_source=openai" TargetMode="External" /><Relationship Type="http://schemas.openxmlformats.org/officeDocument/2006/relationships/hyperlink" Id="rId11" Target="https://www.tradingview.com/news/zacks%3A7bd86c819094b%3A0-intuitive-surgical-pre-q2-analysis-buy-hold-or-sell-the-stock-now/"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2026-07-16T01:44:16Z</dcterms:created>
  <dcterms:modified xsi:type="dcterms:W3CDTF">2026-07-16T01:44:16Z</dcterms:modified>
</cp:coreProperties>
</file>

<file path=docProps/custom.xml><?xml version="1.0" encoding="utf-8"?>
<Properties xmlns="http://schemas.openxmlformats.org/officeDocument/2006/custom-properties" xmlns:vt="http://schemas.openxmlformats.org/officeDocument/2006/docPropsVTypes"/>
</file>