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isrg-q2-2026-earnings-preview"/>
    <w:p>
      <w:pPr>
        <w:pStyle w:val="Heading1"/>
      </w:pPr>
      <w:r>
        <w:t xml:space="preserve">ISRG Q2 2026 Earnings Preview</w:t>
      </w:r>
    </w:p>
    <w:p>
      <w:pPr>
        <w:pStyle w:val="BlockText"/>
      </w:pPr>
      <w:r>
        <w:rPr>
          <w:b/>
          <w:bCs/>
        </w:rPr>
        <w:t xml:space="preserve">Timing clarification:</w:t>
      </w:r>
      <w:r>
        <w:t xml:space="preserve"> </w:t>
      </w:r>
      <w:r>
        <w:t xml:space="preserve">The event is</w:t>
      </w:r>
      <w:r>
        <w:t xml:space="preserve"> </w:t>
      </w:r>
      <w:r>
        <w:rPr>
          <w:b/>
          <w:bCs/>
        </w:rPr>
        <w:t xml:space="preserve">today, Thursday, July 16, 2026</w:t>
      </w:r>
      <w:r>
        <w:t xml:space="preserve">, not tomorrow. Intuitive Surgical is scheduled to report Q2 results after the market close and hold its earnings call at</w:t>
      </w:r>
      <w:r>
        <w:t xml:space="preserve"> </w:t>
      </w:r>
      <w:r>
        <w:rPr>
          <w:b/>
          <w:bCs/>
        </w:rPr>
        <w:t xml:space="preserve">1:30 p.m. PDT / 4:30 p.m. EDT</w:t>
      </w:r>
      <w:r>
        <w:t xml:space="preserve">. (</w:t>
      </w:r>
      <w:hyperlink r:id="rId9">
        <w:r>
          <w:rPr>
            <w:rStyle w:val="Hyperlink"/>
          </w:rPr>
          <w:t xml:space="preserve">isrg.intuitive.com</w:t>
        </w:r>
      </w:hyperlink>
      <w:r>
        <w:t xml:space="preserve">)</w:t>
      </w:r>
    </w:p>
    <w:bookmarkStart w:id="10" w:name="X9cf7a653a24cda65fcf7ecdf24b146ca467ea25"/>
    <w:p>
      <w:pPr>
        <w:pStyle w:val="Heading2"/>
      </w:pPr>
      <w:r>
        <w:t xml:space="preserve">Investment view: the report is about whether strong utilization and da Vinci 5 monetization can offset international friction</w:t>
      </w:r>
    </w:p>
    <w:p>
      <w:pPr>
        <w:pStyle w:val="FirstParagraph"/>
      </w:pPr>
      <w:r>
        <w:t xml:space="preserve">Intuitive enters Q2 with its core operating story intact: procedure growth, increasing da Vinci 5 adoption, and a growing recurring-revenue base. The nearer-term debate is whether that execution remains strong enough to support the company’s premium earnings profile amid pressure points in China and Japan, tariff-related gross-margin headwinds, and a more cautious hospital-capex environment.</w:t>
      </w:r>
    </w:p>
    <w:p>
      <w:pPr>
        <w:pStyle w:val="BodyText"/>
      </w:pPr>
      <w:r>
        <w:t xml:space="preserve">The stock has already materially de-rated: ISRG closed at</w:t>
      </w:r>
      <w:r>
        <w:t xml:space="preserve"> </w:t>
      </w:r>
      <w:r>
        <w:rPr>
          <w:b/>
          <w:bCs/>
        </w:rPr>
        <w:t xml:space="preserve">$389.01 on July 15</w:t>
      </w:r>
      <w:r>
        <w:t xml:space="preserve">, down roughly</w:t>
      </w:r>
      <w:r>
        <w:t xml:space="preserve"> </w:t>
      </w:r>
      <w:r>
        <w:rPr>
          <w:b/>
          <w:bCs/>
        </w:rPr>
        <w:t xml:space="preserve">31% year-to-date</w:t>
      </w:r>
      <w:r>
        <w:t xml:space="preserve"> </w:t>
      </w:r>
      <w:r>
        <w:t xml:space="preserve">based on closing-price data. That lowers the bar versus earlier in the year, but it also means investors will be focused less on an EPS beat alone and more on the durability of procedures, system demand, and the full-year outlook.</w:t>
      </w:r>
    </w:p>
    <w:bookmarkEnd w:id="10"/>
    <w:bookmarkStart w:id="16" w:name="what-matters-most-this-quarter"/>
    <w:p>
      <w:pPr>
        <w:pStyle w:val="Heading2"/>
      </w:pPr>
      <w:r>
        <w:t xml:space="preserve">What matters most this quarter</w:t>
      </w:r>
    </w:p>
    <w:bookmarkStart w:id="12" w:name="X7bea2923f2d73675039b21811e9e1b1ec7fb9b5"/>
    <w:p>
      <w:pPr>
        <w:pStyle w:val="Heading3"/>
      </w:pPr>
      <w:r>
        <w:t xml:space="preserve">1. Procedure growth is the primary KPI</w:t>
      </w:r>
    </w:p>
    <w:p>
      <w:pPr>
        <w:pStyle w:val="FirstParagraph"/>
      </w:pPr>
      <w:r>
        <w:t xml:space="preserve">The central question is whether da Vinci procedure growth remains comfortably above the midpoint of Intuitive’s full-year</w:t>
      </w:r>
      <w:r>
        <w:t xml:space="preserve"> </w:t>
      </w:r>
      <w:r>
        <w:rPr>
          <w:b/>
          <w:bCs/>
        </w:rPr>
        <w:t xml:space="preserve">13.5%–15.5%</w:t>
      </w:r>
      <w:r>
        <w:t xml:space="preserve"> </w:t>
      </w:r>
      <w:r>
        <w:t xml:space="preserve">outlook.</w:t>
      </w:r>
    </w:p>
    <w:p>
      <w:pPr>
        <w:pStyle w:val="BodyText"/>
      </w:pPr>
      <w:r>
        <w:t xml:space="preserve">In Q1, worldwide da Vinci procedures grew</w:t>
      </w:r>
      <w:r>
        <w:t xml:space="preserve"> </w:t>
      </w:r>
      <w:r>
        <w:rPr>
          <w:b/>
          <w:bCs/>
        </w:rPr>
        <w:t xml:space="preserve">16%</w:t>
      </w:r>
      <w:r>
        <w:t xml:space="preserve">, while combined da Vinci and Ion procedures grew</w:t>
      </w:r>
      <w:r>
        <w:t xml:space="preserve"> </w:t>
      </w:r>
      <w:r>
        <w:rPr>
          <w:b/>
          <w:bCs/>
        </w:rPr>
        <w:t xml:space="preserve">17%</w:t>
      </w:r>
      <w:r>
        <w:t xml:space="preserve">. U.S. da Vinci procedures grew 14%, driven by general surgery, including cholecystectomy and appendectomy; international da Vinci procedures rose 19%. Q1 strength was broad, but China and Japan remained below the corporate growth rate. (</w:t>
      </w:r>
      <w:hyperlink r:id="rId11">
        <w:r>
          <w:rPr>
            <w:rStyle w:val="Hyperlink"/>
          </w:rPr>
          <w:t xml:space="preserve">isrg.intuitive.com</w:t>
        </w:r>
      </w:hyperlink>
      <w:r>
        <w:t xml:space="preserve">)</w:t>
      </w:r>
    </w:p>
    <w:p>
      <w:pPr>
        <w:pStyle w:val="BodyText"/>
      </w:pPr>
      <w:r>
        <w:t xml:space="preserve">For Q2, investors should watch:</w:t>
      </w:r>
    </w:p>
    <w:p>
      <w:pPr>
        <w:pStyle w:val="Compact"/>
        <w:numPr>
          <w:ilvl w:val="0"/>
          <w:numId w:val="1001"/>
        </w:numPr>
      </w:pPr>
      <w:r>
        <w:rPr>
          <w:b/>
          <w:bCs/>
        </w:rPr>
        <w:t xml:space="preserve">U.S. general-surgery momentum.</w:t>
      </w:r>
      <w:r>
        <w:t xml:space="preserve"> </w:t>
      </w:r>
      <w:r>
        <w:t xml:space="preserve">Growth in cholecystectomy, appendectomy, and benign gynecology can sustain utilization and instrument consumption.</w:t>
      </w:r>
    </w:p>
    <w:p>
      <w:pPr>
        <w:pStyle w:val="Compact"/>
        <w:numPr>
          <w:ilvl w:val="0"/>
          <w:numId w:val="1001"/>
        </w:numPr>
      </w:pPr>
      <w:r>
        <w:rPr>
          <w:b/>
          <w:bCs/>
        </w:rPr>
        <w:t xml:space="preserve">da Vinci 5 utilization.</w:t>
      </w:r>
      <w:r>
        <w:t xml:space="preserve"> </w:t>
      </w:r>
      <w:r>
        <w:t xml:space="preserve">Management said dV5 utilization was approximately</w:t>
      </w:r>
      <w:r>
        <w:t xml:space="preserve"> </w:t>
      </w:r>
      <w:r>
        <w:rPr>
          <w:b/>
          <w:bCs/>
        </w:rPr>
        <w:t xml:space="preserve">11% higher than Xi</w:t>
      </w:r>
      <w:r>
        <w:t xml:space="preserve"> </w:t>
      </w:r>
      <w:r>
        <w:t xml:space="preserve">in Q1, an important signal that upgrades can drive both procedure growth and monetization.</w:t>
      </w:r>
    </w:p>
    <w:p>
      <w:pPr>
        <w:pStyle w:val="Compact"/>
        <w:numPr>
          <w:ilvl w:val="0"/>
          <w:numId w:val="1001"/>
        </w:numPr>
      </w:pPr>
      <w:r>
        <w:rPr>
          <w:b/>
          <w:bCs/>
        </w:rPr>
        <w:t xml:space="preserve">Bariatric procedures.</w:t>
      </w:r>
      <w:r>
        <w:t xml:space="preserve"> </w:t>
      </w:r>
      <w:r>
        <w:t xml:space="preserve">In Q1, U.S. da Vinci bariatrics declined about 10%, which management attributed to greater GLP-1 use. This remains a known offset to otherwise strong general-surgery trends.</w:t>
      </w:r>
    </w:p>
    <w:p>
      <w:pPr>
        <w:pStyle w:val="Compact"/>
        <w:numPr>
          <w:ilvl w:val="0"/>
          <w:numId w:val="1001"/>
        </w:numPr>
      </w:pPr>
      <w:r>
        <w:rPr>
          <w:b/>
          <w:bCs/>
        </w:rPr>
        <w:t xml:space="preserve">Ion growth.</w:t>
      </w:r>
      <w:r>
        <w:t xml:space="preserve"> </w:t>
      </w:r>
      <w:r>
        <w:t xml:space="preserve">Q1 Ion procedures grew 39%. Sustained momentum helps reinforce the longer-term lung-cancer diagnostic opportunity, even if near-term system placements can be uneven.</w:t>
      </w:r>
    </w:p>
    <w:p>
      <w:pPr>
        <w:pStyle w:val="Compact"/>
        <w:numPr>
          <w:ilvl w:val="0"/>
          <w:numId w:val="1001"/>
        </w:numPr>
      </w:pPr>
      <w:r>
        <w:rPr>
          <w:b/>
          <w:bCs/>
        </w:rPr>
        <w:t xml:space="preserve">SP expansion.</w:t>
      </w:r>
      <w:r>
        <w:t xml:space="preserve"> </w:t>
      </w:r>
      <w:r>
        <w:t xml:space="preserve">SP procedure growth was 68% in Q1, supported by Korea, the U.S., new clearances, and the expanding instrument set.</w:t>
      </w:r>
    </w:p>
    <w:p>
      <w:pPr>
        <w:pStyle w:val="FirstParagraph"/>
      </w:pPr>
      <w:r>
        <w:rPr>
          <w:b/>
          <w:bCs/>
        </w:rPr>
        <w:t xml:space="preserve">Read-through:</w:t>
      </w:r>
      <w:r>
        <w:t xml:space="preserve"> </w:t>
      </w:r>
      <w:r>
        <w:t xml:space="preserve">A print at or above the annual procedure-growth range—particularly if U.S. utilization remains strong—would reinforce the bull case. A deceleration toward the low end, especially if driven by the U.S. rather than China/Japan, would be more concerning.</w:t>
      </w:r>
    </w:p>
    <w:p>
      <w:r>
        <w:pict>
          <v:rect style="width:0;height:1.5pt" o:hralign="center" o:hrstd="t" o:hr="t"/>
        </w:pict>
      </w:r>
    </w:p>
    <w:bookmarkEnd w:id="12"/>
    <w:bookmarkStart w:id="14" w:name="Xa703bd10514113268270c39dd575d736131802a"/>
    <w:p>
      <w:pPr>
        <w:pStyle w:val="Heading3"/>
      </w:pPr>
      <w:r>
        <w:t xml:space="preserve">2. da Vinci 5 adoption should support revenue growth above procedure growth</w:t>
      </w:r>
    </w:p>
    <w:p>
      <w:pPr>
        <w:pStyle w:val="FirstParagraph"/>
      </w:pPr>
      <w:r>
        <w:t xml:space="preserve">The key positive in the model is that revenue has been outgrowing procedures. In Q1, revenue rose</w:t>
      </w:r>
      <w:r>
        <w:t xml:space="preserve"> </w:t>
      </w:r>
      <w:r>
        <w:rPr>
          <w:b/>
          <w:bCs/>
        </w:rPr>
        <w:t xml:space="preserve">23% to $2.77 billion</w:t>
      </w:r>
      <w:r>
        <w:t xml:space="preserve">, versus 16% da Vinci procedure growth, driven by instruments and accessories, higher system placements, a larger lease base, and higher da Vinci system average selling prices. (</w:t>
      </w:r>
      <w:hyperlink r:id="rId11">
        <w:r>
          <w:rPr>
            <w:rStyle w:val="Hyperlink"/>
          </w:rPr>
          <w:t xml:space="preserve">isrg.intuitive.com</w:t>
        </w:r>
      </w:hyperlink>
      <w:r>
        <w:t xml:space="preserve">)</w:t>
      </w:r>
    </w:p>
    <w:p>
      <w:pPr>
        <w:pStyle w:val="BodyText"/>
      </w:pPr>
      <w:r>
        <w:t xml:space="preserve">The dV5 upgrade cycle is central to that dynamic:</w:t>
      </w:r>
    </w:p>
    <w:p>
      <w:pPr>
        <w:pStyle w:val="Compact"/>
        <w:numPr>
          <w:ilvl w:val="0"/>
          <w:numId w:val="1002"/>
        </w:numPr>
      </w:pPr>
      <w:r>
        <w:t xml:space="preserve">Intuitive placed</w:t>
      </w:r>
      <w:r>
        <w:t xml:space="preserve"> </w:t>
      </w:r>
      <w:r>
        <w:rPr>
          <w:b/>
          <w:bCs/>
        </w:rPr>
        <w:t xml:space="preserve">431 da Vinci systems</w:t>
      </w:r>
      <w:r>
        <w:t xml:space="preserve"> </w:t>
      </w:r>
      <w:r>
        <w:t xml:space="preserve">in Q1, including</w:t>
      </w:r>
      <w:r>
        <w:t xml:space="preserve"> </w:t>
      </w:r>
      <w:r>
        <w:rPr>
          <w:b/>
          <w:bCs/>
        </w:rPr>
        <w:t xml:space="preserve">232 da Vinci 5 systems</w:t>
      </w:r>
      <w:r>
        <w:t xml:space="preserve">.</w:t>
      </w:r>
    </w:p>
    <w:p>
      <w:pPr>
        <w:pStyle w:val="Compact"/>
        <w:numPr>
          <w:ilvl w:val="0"/>
          <w:numId w:val="1002"/>
        </w:numPr>
      </w:pPr>
      <w:r>
        <w:t xml:space="preserve">Purchased dV5 systems carried an average selling price of approximately</w:t>
      </w:r>
      <w:r>
        <w:t xml:space="preserve"> </w:t>
      </w:r>
      <w:r>
        <w:rPr>
          <w:b/>
          <w:bCs/>
        </w:rPr>
        <w:t xml:space="preserve">$1.7 million</w:t>
      </w:r>
      <w:r>
        <w:t xml:space="preserve"> </w:t>
      </w:r>
      <w:r>
        <w:t xml:space="preserve">in Q1.</w:t>
      </w:r>
    </w:p>
    <w:p>
      <w:pPr>
        <w:pStyle w:val="Compact"/>
        <w:numPr>
          <w:ilvl w:val="0"/>
          <w:numId w:val="1002"/>
        </w:numPr>
      </w:pPr>
      <w:r>
        <w:t xml:space="preserve">Leasing represented</w:t>
      </w:r>
      <w:r>
        <w:t xml:space="preserve"> </w:t>
      </w:r>
      <w:r>
        <w:rPr>
          <w:b/>
          <w:bCs/>
        </w:rPr>
        <w:t xml:space="preserve">56%</w:t>
      </w:r>
      <w:r>
        <w:t xml:space="preserve"> </w:t>
      </w:r>
      <w:r>
        <w:t xml:space="preserve">of Q1 da Vinci placements, which supports recurring revenue but can make reported system revenue more dependent on mix and accounting timing.</w:t>
      </w:r>
    </w:p>
    <w:p>
      <w:pPr>
        <w:pStyle w:val="Compact"/>
        <w:numPr>
          <w:ilvl w:val="0"/>
          <w:numId w:val="1002"/>
        </w:numPr>
      </w:pPr>
      <w:r>
        <w:t xml:space="preserve">Q1 trade-ins rose to 119 from 67 a year earlier, largely due to U.S. customers upgrading to dV5.</w:t>
      </w:r>
    </w:p>
    <w:p>
      <w:pPr>
        <w:pStyle w:val="FirstParagraph"/>
      </w:pPr>
      <w:r>
        <w:t xml:space="preserve">The comparison is not easy: in Q2 2025, ISRG generated</w:t>
      </w:r>
      <w:r>
        <w:t xml:space="preserve"> </w:t>
      </w:r>
      <w:r>
        <w:rPr>
          <w:b/>
          <w:bCs/>
        </w:rPr>
        <w:t xml:space="preserve">$2.44 billion</w:t>
      </w:r>
      <w:r>
        <w:t xml:space="preserve"> </w:t>
      </w:r>
      <w:r>
        <w:t xml:space="preserve">in revenue, placed</w:t>
      </w:r>
      <w:r>
        <w:t xml:space="preserve"> </w:t>
      </w:r>
      <w:r>
        <w:rPr>
          <w:b/>
          <w:bCs/>
        </w:rPr>
        <w:t xml:space="preserve">395</w:t>
      </w:r>
      <w:r>
        <w:t xml:space="preserve"> </w:t>
      </w:r>
      <w:r>
        <w:t xml:space="preserve">da Vinci systems, and reported 17% da Vinci procedure growth. (</w:t>
      </w:r>
      <w:hyperlink r:id="rId13">
        <w:r>
          <w:rPr>
            <w:rStyle w:val="Hyperlink"/>
          </w:rPr>
          <w:t xml:space="preserve">isrg.intuitive.com</w:t>
        </w:r>
      </w:hyperlink>
      <w:r>
        <w:t xml:space="preserve">)</w:t>
      </w:r>
    </w:p>
    <w:p>
      <w:pPr>
        <w:pStyle w:val="BodyText"/>
      </w:pPr>
      <w:r>
        <w:rPr>
          <w:b/>
          <w:bCs/>
        </w:rPr>
        <w:t xml:space="preserve">What investors need to see:</w:t>
      </w:r>
      <w:r>
        <w:t xml:space="preserve"> </w:t>
      </w:r>
      <w:r>
        <w:t xml:space="preserve">healthy dV5 placements, evidence that upgrades are still broadening beyond early adopters, and instruments-and-accessories growth that remains at least consistent with procedure growth. A revenue beat driven only by system or distributor-order timing would be less durable than one led by procedures and recurring revenue.</w:t>
      </w:r>
    </w:p>
    <w:p>
      <w:r>
        <w:pict>
          <v:rect style="width:0;height:1.5pt" o:hralign="center" o:hrstd="t" o:hr="t"/>
        </w:pict>
      </w:r>
    </w:p>
    <w:bookmarkEnd w:id="14"/>
    <w:bookmarkStart w:id="15" w:name="Xaa3d7615f3522245b036a8a569c84e0f8ac0141"/>
    <w:p>
      <w:pPr>
        <w:pStyle w:val="Heading3"/>
      </w:pPr>
      <w:r>
        <w:t xml:space="preserve">3. Gross margin and the tariff outlook may matter as much as headline EPS</w:t>
      </w:r>
    </w:p>
    <w:p>
      <w:pPr>
        <w:pStyle w:val="FirstParagraph"/>
      </w:pPr>
      <w:r>
        <w:t xml:space="preserve">Management’s current full-year outlook calls for:</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2026 guidance, reiterated after Q1</w:t>
            </w:r>
          </w:p>
        </w:tc>
        <w:tc>
          <w:tcPr/>
          <w:p>
            <w:pPr>
              <w:pStyle w:val="Compact"/>
              <w:jc w:val="right"/>
            </w:pPr>
            <w:r>
              <w:t xml:space="preserve">Outlook</w:t>
            </w:r>
          </w:p>
        </w:tc>
      </w:tr>
      <w:tr>
        <w:tc>
          <w:tcPr/>
          <w:p>
            <w:pPr>
              <w:pStyle w:val="Compact"/>
            </w:pPr>
            <w:r>
              <w:t xml:space="preserve">Worldwide da Vinci procedure growth</w:t>
            </w:r>
          </w:p>
        </w:tc>
        <w:tc>
          <w:tcPr/>
          <w:p>
            <w:pPr>
              <w:pStyle w:val="Compact"/>
              <w:jc w:val="right"/>
            </w:pPr>
            <w:r>
              <w:rPr>
                <w:b/>
                <w:bCs/>
              </w:rPr>
              <w:t xml:space="preserve">13.5%–15.5%</w:t>
            </w:r>
          </w:p>
        </w:tc>
      </w:tr>
      <w:tr>
        <w:tc>
          <w:tcPr/>
          <w:p>
            <w:pPr>
              <w:pStyle w:val="Compact"/>
            </w:pPr>
            <w:r>
              <w:t xml:space="preserve">Non-GAAP gross margin</w:t>
            </w:r>
          </w:p>
        </w:tc>
        <w:tc>
          <w:tcPr/>
          <w:p>
            <w:pPr>
              <w:pStyle w:val="Compact"/>
              <w:jc w:val="right"/>
            </w:pPr>
            <w:r>
              <w:rPr>
                <w:b/>
                <w:bCs/>
              </w:rPr>
              <w:t xml:space="preserve">67.5%–68.5%</w:t>
            </w:r>
          </w:p>
        </w:tc>
      </w:tr>
      <w:tr>
        <w:tc>
          <w:tcPr/>
          <w:p>
            <w:pPr>
              <w:pStyle w:val="Compact"/>
            </w:pPr>
            <w:r>
              <w:t xml:space="preserve">Non-GAAP operating-expense growth</w:t>
            </w:r>
          </w:p>
        </w:tc>
        <w:tc>
          <w:tcPr/>
          <w:p>
            <w:pPr>
              <w:pStyle w:val="Compact"/>
              <w:jc w:val="right"/>
            </w:pPr>
            <w:r>
              <w:rPr>
                <w:b/>
                <w:bCs/>
              </w:rPr>
              <w:t xml:space="preserve">11%–14%</w:t>
            </w:r>
          </w:p>
        </w:tc>
      </w:tr>
    </w:tbl>
    <w:p>
      <w:pPr>
        <w:pStyle w:val="BodyText"/>
      </w:pPr>
      <w:r>
        <w:t xml:space="preserve">The gross-margin outlook incorporates an estimated</w:t>
      </w:r>
      <w:r>
        <w:t xml:space="preserve"> </w:t>
      </w:r>
      <w:r>
        <w:rPr>
          <w:b/>
          <w:bCs/>
        </w:rPr>
        <w:t xml:space="preserve">100 basis points of tariff impact</w:t>
      </w:r>
      <w:r>
        <w:t xml:space="preserve"> </w:t>
      </w:r>
      <w:r>
        <w:t xml:space="preserve">on revenue. (</w:t>
      </w:r>
      <w:hyperlink r:id="rId11">
        <w:r>
          <w:rPr>
            <w:rStyle w:val="Hyperlink"/>
          </w:rPr>
          <w:t xml:space="preserve">isrg.intuitive.com</w:t>
        </w:r>
      </w:hyperlink>
      <w:r>
        <w:t xml:space="preserve">)</w:t>
      </w:r>
    </w:p>
    <w:p>
      <w:pPr>
        <w:pStyle w:val="BodyText"/>
      </w:pPr>
      <w:r>
        <w:t xml:space="preserve">Q1 non-GAAP gross margin was 67.8%, already within the full-year range. That reflected manufacturing/product-cost execution and fixed-cost leverage, partly offset by tariffs. The Q2 setup is more complicated because management had warned that freight, semiconductor-memory, and other input costs could become more unfavorable later in the year.</w:t>
      </w:r>
    </w:p>
    <w:p>
      <w:pPr>
        <w:pStyle w:val="BodyText"/>
      </w:pPr>
      <w:r>
        <w:rPr>
          <w:b/>
          <w:bCs/>
        </w:rPr>
        <w:t xml:space="preserve">Key earnings-call question:</w:t>
      </w:r>
      <w:r>
        <w:t xml:space="preserve"> </w:t>
      </w:r>
      <w:r>
        <w:t xml:space="preserve">Can ISRG maintain gross margin around the middle-to-upper part of its guided range while scaling dV5, Ion, SP, and direct international operations?</w:t>
      </w:r>
      <w:r>
        <w:br/>
      </w:r>
      <w:r>
        <w:t xml:space="preserve">A maintained or improved margin outlook would be a meaningful positive. A guide-down tied to tariffs, inputs, pricing, or mix would likely overshadow a modest earnings beat.</w:t>
      </w:r>
    </w:p>
    <w:p>
      <w:r>
        <w:pict>
          <v:rect style="width:0;height:1.5pt" o:hralign="center" o:hrstd="t" o:hr="t"/>
        </w:pict>
      </w:r>
    </w:p>
    <w:bookmarkEnd w:id="15"/>
    <w:bookmarkEnd w:id="16"/>
    <w:bookmarkStart w:id="20" w:name="geographic-swing-factors"/>
    <w:p>
      <w:pPr>
        <w:pStyle w:val="Heading2"/>
      </w:pPr>
      <w:r>
        <w:t xml:space="preserve">Geographic swing factors</w:t>
      </w:r>
    </w:p>
    <w:bookmarkStart w:id="17" w:name="X740d7890a932660c1bfcff62de3c8e73e85a035"/>
    <w:p>
      <w:pPr>
        <w:pStyle w:val="Heading3"/>
      </w:pPr>
      <w:r>
        <w:t xml:space="preserve">China: likely still a drag, but the severity matters</w:t>
      </w:r>
    </w:p>
    <w:p>
      <w:pPr>
        <w:pStyle w:val="FirstParagraph"/>
      </w:pPr>
      <w:r>
        <w:t xml:space="preserve">China remains the largest near-term uncertainty. Management described Q1 as a low-tender environment marked by domestic competition and policy-driven pricing pressure. It is pursuing procedure reimbursement and patient-charge-code improvements, but did not expect clarity until</w:t>
      </w:r>
      <w:r>
        <w:t xml:space="preserve"> </w:t>
      </w:r>
      <w:r>
        <w:rPr>
          <w:b/>
          <w:bCs/>
        </w:rPr>
        <w:t xml:space="preserve">2027</w:t>
      </w:r>
      <w:r>
        <w:t xml:space="preserve">.</w:t>
      </w:r>
    </w:p>
    <w:p>
      <w:pPr>
        <w:pStyle w:val="BodyText"/>
      </w:pPr>
      <w:r>
        <w:t xml:space="preserve">The relevant Q2 question is not necessarily whether China turns positive—it is whether conditions stabilized versus Q1 and whether its localized product, pricing, and market-access strategy is preventing further deterioration.</w:t>
      </w:r>
    </w:p>
    <w:bookmarkEnd w:id="17"/>
    <w:bookmarkStart w:id="18" w:name="Xafdff6b996e76a9771b490e3055fcf7cca62021"/>
    <w:p>
      <w:pPr>
        <w:pStyle w:val="Heading3"/>
      </w:pPr>
      <w:r>
        <w:t xml:space="preserve">Japan: reimbursement is improving, but the benefit is unlikely to be immediate</w:t>
      </w:r>
    </w:p>
    <w:p>
      <w:pPr>
        <w:pStyle w:val="FirstParagraph"/>
      </w:pPr>
      <w:r>
        <w:t xml:space="preserve">Japan began new reimbursement measures in June, including support for higher-volume robotic programs and reimbursement for seven additional procedures. That is strategically constructive, but management has remained cautious because public hospitals face financial pressure and placements had weakened. Q2 may provide the first directional read, but investors should not expect a material revenue contribution immediately.</w:t>
      </w:r>
    </w:p>
    <w:bookmarkEnd w:id="18"/>
    <w:bookmarkStart w:id="19" w:name="X69a6d4a5abe9fe116d6c2df9f4a653ffb2db115"/>
    <w:p>
      <w:pPr>
        <w:pStyle w:val="Heading3"/>
      </w:pPr>
      <w:r>
        <w:t xml:space="preserve">Europe and other international markets: opportunity, with capex sensitivity</w:t>
      </w:r>
    </w:p>
    <w:p>
      <w:pPr>
        <w:pStyle w:val="FirstParagraph"/>
      </w:pPr>
      <w:r>
        <w:t xml:space="preserve">International procedure growth has been a significant part of ISRG’s long-run runway. Europe performed well in Q1, and Intuitive has added capability through its acquisition of the da Vinci and Ion distribution businesses in Italy, Spain, and Portugal. Still, hospital capital budgets and regional macro conditions could affect system placements.</w:t>
      </w:r>
    </w:p>
    <w:p>
      <w:r>
        <w:pict>
          <v:rect style="width:0;height:1.5pt" o:hralign="center" o:hrstd="t" o:hr="t"/>
        </w:pict>
      </w:r>
    </w:p>
    <w:bookmarkEnd w:id="19"/>
    <w:bookmarkEnd w:id="20"/>
    <w:bookmarkStart w:id="22" w:name="X13ae5efbba2945cc1ce15a8cdb40f3665eb57e5"/>
    <w:p>
      <w:pPr>
        <w:pStyle w:val="Heading2"/>
      </w:pPr>
      <w:r>
        <w:t xml:space="preserve">Product and pipeline catalysts to listen for</w:t>
      </w:r>
    </w:p>
    <w:p>
      <w:pPr>
        <w:pStyle w:val="FirstParagraph"/>
      </w:pPr>
      <w:r>
        <w:t xml:space="preserve">The report should also provide updates on whether recent product innovation is translating into faster adoption and deeper utilization.</w:t>
      </w:r>
    </w:p>
    <w:p>
      <w:pPr>
        <w:pStyle w:val="Compact"/>
        <w:numPr>
          <w:ilvl w:val="0"/>
          <w:numId w:val="1003"/>
        </w:numPr>
      </w:pPr>
      <w:r>
        <w:rPr>
          <w:b/>
          <w:bCs/>
        </w:rPr>
        <w:t xml:space="preserve">Force Feedback:</w:t>
      </w:r>
      <w:r>
        <w:t xml:space="preserve"> </w:t>
      </w:r>
      <w:r>
        <w:t xml:space="preserve">Intuitive expanded the number of uses on five Force Feedback instruments from six to 15, intended to help meet demand and build clinical evidence. Broader availability was expected to begin in Q2. (</w:t>
      </w:r>
      <w:hyperlink r:id="rId21">
        <w:r>
          <w:rPr>
            <w:rStyle w:val="Hyperlink"/>
          </w:rPr>
          <w:t xml:space="preserve">isrg.gcs-web.com</w:t>
        </w:r>
      </w:hyperlink>
      <w:r>
        <w:t xml:space="preserve">)</w:t>
      </w:r>
    </w:p>
    <w:p>
      <w:pPr>
        <w:pStyle w:val="Compact"/>
        <w:numPr>
          <w:ilvl w:val="0"/>
          <w:numId w:val="1003"/>
        </w:numPr>
      </w:pPr>
      <w:r>
        <w:rPr>
          <w:b/>
          <w:bCs/>
        </w:rPr>
        <w:t xml:space="preserve">da Vinci 5 digital ecosystem:</w:t>
      </w:r>
      <w:r>
        <w:t xml:space="preserve"> </w:t>
      </w:r>
      <w:r>
        <w:t xml:space="preserve">The company announced more than 100 planned dV5 updates and workflow improvements, including telepresence enhancements, mobile login, and training features. (</w:t>
      </w:r>
      <w:hyperlink r:id="rId21">
        <w:r>
          <w:rPr>
            <w:rStyle w:val="Hyperlink"/>
          </w:rPr>
          <w:t xml:space="preserve">isrg.gcs-web.com</w:t>
        </w:r>
      </w:hyperlink>
      <w:r>
        <w:t xml:space="preserve">)</w:t>
      </w:r>
    </w:p>
    <w:p>
      <w:pPr>
        <w:pStyle w:val="Compact"/>
        <w:numPr>
          <w:ilvl w:val="0"/>
          <w:numId w:val="1003"/>
        </w:numPr>
      </w:pPr>
      <w:r>
        <w:rPr>
          <w:b/>
          <w:bCs/>
        </w:rPr>
        <w:t xml:space="preserve">Reliability:</w:t>
      </w:r>
      <w:r>
        <w:t xml:space="preserve"> </w:t>
      </w:r>
      <w:r>
        <w:t xml:space="preserve">Management reported dV5 Complete Care uptime above 99%, versus its 98% guarantee. Reliability is important because higher utilization is a core part of the dV5 value proposition. (</w:t>
      </w:r>
      <w:hyperlink r:id="rId21">
        <w:r>
          <w:rPr>
            <w:rStyle w:val="Hyperlink"/>
          </w:rPr>
          <w:t xml:space="preserve">isrg.gcs-web.com</w:t>
        </w:r>
      </w:hyperlink>
      <w:r>
        <w:t xml:space="preserve">)</w:t>
      </w:r>
    </w:p>
    <w:p>
      <w:pPr>
        <w:pStyle w:val="Compact"/>
        <w:numPr>
          <w:ilvl w:val="0"/>
          <w:numId w:val="1003"/>
        </w:numPr>
      </w:pPr>
      <w:r>
        <w:rPr>
          <w:b/>
          <w:bCs/>
        </w:rPr>
        <w:t xml:space="preserve">Ion:</w:t>
      </w:r>
      <w:r>
        <w:t xml:space="preserve"> </w:t>
      </w:r>
      <w:r>
        <w:t xml:space="preserve">Investors will want progress on ROSE and EBUS integration, which could make Ion more valuable by streamlining lung diagnosis and staging.</w:t>
      </w:r>
    </w:p>
    <w:p>
      <w:pPr>
        <w:pStyle w:val="Compact"/>
        <w:numPr>
          <w:ilvl w:val="0"/>
          <w:numId w:val="1003"/>
        </w:numPr>
      </w:pPr>
      <w:r>
        <w:rPr>
          <w:b/>
          <w:bCs/>
        </w:rPr>
        <w:t xml:space="preserve">SP:</w:t>
      </w:r>
      <w:r>
        <w:t xml:space="preserve"> </w:t>
      </w:r>
      <w:r>
        <w:t xml:space="preserve">Continued adoption of the SP stapler and progress in thoracic, colorectal, and newer procedures could support an underappreciated longer-term incremental opportunity.</w:t>
      </w:r>
    </w:p>
    <w:p>
      <w:pPr>
        <w:pStyle w:val="FirstParagraph"/>
      </w:pPr>
      <w:r>
        <w:t xml:space="preserve">These items are unlikely to drive the immediate quarter, but they matter for the durability of ISRG’s pricing power and growth beyond the current dV5 upgrade cycle.</w:t>
      </w:r>
    </w:p>
    <w:p>
      <w:r>
        <w:pict>
          <v:rect style="width:0;height:1.5pt" o:hralign="center" o:hrstd="t" o:hr="t"/>
        </w:pict>
      </w:r>
    </w:p>
    <w:bookmarkEnd w:id="22"/>
    <w:bookmarkStart w:id="23" w:name="q2-scorecard"/>
    <w:p>
      <w:pPr>
        <w:pStyle w:val="Heading2"/>
      </w:pPr>
      <w:r>
        <w:t xml:space="preserve">Q2 scorecard</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 / topic</w:t>
            </w:r>
          </w:p>
        </w:tc>
        <w:tc>
          <w:tcPr/>
          <w:p>
            <w:pPr>
              <w:pStyle w:val="Compact"/>
            </w:pPr>
            <w:r>
              <w:t xml:space="preserve">Bullish outcome</w:t>
            </w:r>
          </w:p>
        </w:tc>
        <w:tc>
          <w:tcPr/>
          <w:p>
            <w:pPr>
              <w:pStyle w:val="Compact"/>
            </w:pPr>
            <w:r>
              <w:t xml:space="preserve">Neutral outcome</w:t>
            </w:r>
          </w:p>
        </w:tc>
        <w:tc>
          <w:tcPr/>
          <w:p>
            <w:pPr>
              <w:pStyle w:val="Compact"/>
            </w:pPr>
            <w:r>
              <w:t xml:space="preserve">Bearish outcome</w:t>
            </w:r>
          </w:p>
        </w:tc>
      </w:tr>
      <w:tr>
        <w:tc>
          <w:tcPr/>
          <w:p>
            <w:pPr>
              <w:pStyle w:val="Compact"/>
            </w:pPr>
            <w:r>
              <w:rPr>
                <w:b/>
                <w:bCs/>
              </w:rPr>
              <w:t xml:space="preserve">da Vinci procedures</w:t>
            </w:r>
          </w:p>
        </w:tc>
        <w:tc>
          <w:tcPr/>
          <w:p>
            <w:pPr>
              <w:pStyle w:val="Compact"/>
            </w:pPr>
            <w:r>
              <w:t xml:space="preserve">Mid-to-high teens growth; strong U.S. utilization</w:t>
            </w:r>
          </w:p>
        </w:tc>
        <w:tc>
          <w:tcPr/>
          <w:p>
            <w:pPr>
              <w:pStyle w:val="Compact"/>
            </w:pPr>
            <w:r>
              <w:t xml:space="preserve">In line with 13.5%–15.5% FY range</w:t>
            </w:r>
          </w:p>
        </w:tc>
        <w:tc>
          <w:tcPr/>
          <w:p>
            <w:pPr>
              <w:pStyle w:val="Compact"/>
            </w:pPr>
            <w:r>
              <w:t xml:space="preserve">Low-end or below-range growth</w:t>
            </w:r>
          </w:p>
        </w:tc>
      </w:tr>
      <w:tr>
        <w:tc>
          <w:tcPr/>
          <w:p>
            <w:pPr>
              <w:pStyle w:val="Compact"/>
            </w:pPr>
            <w:r>
              <w:rPr>
                <w:b/>
                <w:bCs/>
              </w:rPr>
              <w:t xml:space="preserve">dV5 systems / upgrades</w:t>
            </w:r>
          </w:p>
        </w:tc>
        <w:tc>
          <w:tcPr/>
          <w:p>
            <w:pPr>
              <w:pStyle w:val="Compact"/>
            </w:pPr>
            <w:r>
              <w:t xml:space="preserve">Strong placements and continued trade-in activity</w:t>
            </w:r>
          </w:p>
        </w:tc>
        <w:tc>
          <w:tcPr/>
          <w:p>
            <w:pPr>
              <w:pStyle w:val="Compact"/>
            </w:pPr>
            <w:r>
              <w:t xml:space="preserve">Solid, but moderating from Q1</w:t>
            </w:r>
          </w:p>
        </w:tc>
        <w:tc>
          <w:tcPr/>
          <w:p>
            <w:pPr>
              <w:pStyle w:val="Compact"/>
            </w:pPr>
            <w:r>
              <w:t xml:space="preserve">Clear capex slowdown or weaker conversion</w:t>
            </w:r>
          </w:p>
        </w:tc>
      </w:tr>
      <w:tr>
        <w:tc>
          <w:tcPr/>
          <w:p>
            <w:pPr>
              <w:pStyle w:val="Compact"/>
            </w:pPr>
            <w:r>
              <w:rPr>
                <w:b/>
                <w:bCs/>
              </w:rPr>
              <w:t xml:space="preserve">Revenue quality</w:t>
            </w:r>
          </w:p>
        </w:tc>
        <w:tc>
          <w:tcPr/>
          <w:p>
            <w:pPr>
              <w:pStyle w:val="Compact"/>
            </w:pPr>
            <w:r>
              <w:t xml:space="preserve">I&amp;A and services lead; revenue again exceeds procedure growth</w:t>
            </w:r>
          </w:p>
        </w:tc>
        <w:tc>
          <w:tcPr/>
          <w:p>
            <w:pPr>
              <w:pStyle w:val="Compact"/>
            </w:pPr>
            <w:r>
              <w:t xml:space="preserve">Growth broadly tracks procedures</w:t>
            </w:r>
          </w:p>
        </w:tc>
        <w:tc>
          <w:tcPr/>
          <w:p>
            <w:pPr>
              <w:pStyle w:val="Compact"/>
            </w:pPr>
            <w:r>
              <w:t xml:space="preserve">Growth relies on timing, systems, or stocking</w:t>
            </w:r>
          </w:p>
        </w:tc>
      </w:tr>
      <w:tr>
        <w:tc>
          <w:tcPr/>
          <w:p>
            <w:pPr>
              <w:pStyle w:val="Compact"/>
            </w:pPr>
            <w:r>
              <w:rPr>
                <w:b/>
                <w:bCs/>
              </w:rPr>
              <w:t xml:space="preserve">Gross margin</w:t>
            </w:r>
          </w:p>
        </w:tc>
        <w:tc>
          <w:tcPr/>
          <w:p>
            <w:pPr>
              <w:pStyle w:val="Compact"/>
            </w:pPr>
            <w:r>
              <w:t xml:space="preserve">At/above high end of guide; tariff impact contained</w:t>
            </w:r>
          </w:p>
        </w:tc>
        <w:tc>
          <w:tcPr/>
          <w:p>
            <w:pPr>
              <w:pStyle w:val="Compact"/>
            </w:pPr>
            <w:r>
              <w:t xml:space="preserve">Within 67.5%–68.5% guide</w:t>
            </w:r>
          </w:p>
        </w:tc>
        <w:tc>
          <w:tcPr/>
          <w:p>
            <w:pPr>
              <w:pStyle w:val="Compact"/>
            </w:pPr>
            <w:r>
              <w:t xml:space="preserve">Margin guide reduced on tariffs, inputs, or mix</w:t>
            </w:r>
          </w:p>
        </w:tc>
      </w:tr>
      <w:tr>
        <w:tc>
          <w:tcPr/>
          <w:p>
            <w:pPr>
              <w:pStyle w:val="Compact"/>
            </w:pPr>
            <w:r>
              <w:rPr>
                <w:b/>
                <w:bCs/>
              </w:rPr>
              <w:t xml:space="preserve">China / Japan</w:t>
            </w:r>
          </w:p>
        </w:tc>
        <w:tc>
          <w:tcPr/>
          <w:p>
            <w:pPr>
              <w:pStyle w:val="Compact"/>
            </w:pPr>
            <w:r>
              <w:t xml:space="preserve">Stabilization or early improvement</w:t>
            </w:r>
          </w:p>
        </w:tc>
        <w:tc>
          <w:tcPr/>
          <w:p>
            <w:pPr>
              <w:pStyle w:val="Compact"/>
            </w:pPr>
            <w:r>
              <w:t xml:space="preserve">Persistent but contained weakness</w:t>
            </w:r>
          </w:p>
        </w:tc>
        <w:tc>
          <w:tcPr/>
          <w:p>
            <w:pPr>
              <w:pStyle w:val="Compact"/>
            </w:pPr>
            <w:r>
              <w:t xml:space="preserve">Further tender, pricing, or placement deterioration</w:t>
            </w:r>
          </w:p>
        </w:tc>
      </w:tr>
      <w:tr>
        <w:tc>
          <w:tcPr/>
          <w:p>
            <w:pPr>
              <w:pStyle w:val="Compact"/>
            </w:pPr>
            <w:r>
              <w:rPr>
                <w:b/>
                <w:bCs/>
              </w:rPr>
              <w:t xml:space="preserve">2026 outlook</w:t>
            </w:r>
          </w:p>
        </w:tc>
        <w:tc>
          <w:tcPr/>
          <w:p>
            <w:pPr>
              <w:pStyle w:val="Compact"/>
            </w:pPr>
            <w:r>
              <w:t xml:space="preserve">Procedure or margin outlook raised</w:t>
            </w:r>
          </w:p>
        </w:tc>
        <w:tc>
          <w:tcPr/>
          <w:p>
            <w:pPr>
              <w:pStyle w:val="Compact"/>
            </w:pPr>
            <w:r>
              <w:t xml:space="preserve">Guidance maintained</w:t>
            </w:r>
          </w:p>
        </w:tc>
        <w:tc>
          <w:tcPr/>
          <w:p>
            <w:pPr>
              <w:pStyle w:val="Compact"/>
            </w:pPr>
            <w:r>
              <w:t xml:space="preserve">Procedure/margin guidance cut</w:t>
            </w:r>
          </w:p>
        </w:tc>
      </w:tr>
    </w:tbl>
    <w:p>
      <w:r>
        <w:pict>
          <v:rect style="width:0;height:1.5pt" o:hralign="center" o:hrstd="t" o:hr="t"/>
        </w:pict>
      </w:r>
    </w:p>
    <w:bookmarkEnd w:id="23"/>
    <w:bookmarkStart w:id="24" w:name="bottom-line"/>
    <w:p>
      <w:pPr>
        <w:pStyle w:val="Heading2"/>
      </w:pPr>
      <w:r>
        <w:t xml:space="preserve">Bottom line</w:t>
      </w:r>
    </w:p>
    <w:p>
      <w:pPr>
        <w:pStyle w:val="FirstParagraph"/>
      </w:pPr>
      <w:r>
        <w:t xml:space="preserve">ISRG’s Q2 report is unlikely to hinge on a small EPS variance. The market will judge whether the company can preserve a premium growth algorithm:</w:t>
      </w:r>
    </w:p>
    <w:p>
      <w:pPr>
        <w:pStyle w:val="Compact"/>
        <w:numPr>
          <w:ilvl w:val="0"/>
          <w:numId w:val="1004"/>
        </w:numPr>
      </w:pPr>
      <w:r>
        <w:rPr>
          <w:b/>
          <w:bCs/>
        </w:rPr>
        <w:t xml:space="preserve">Procedures remain in the mid-teens or better;</w:t>
      </w:r>
    </w:p>
    <w:p>
      <w:pPr>
        <w:pStyle w:val="Compact"/>
        <w:numPr>
          <w:ilvl w:val="0"/>
          <w:numId w:val="1004"/>
        </w:numPr>
      </w:pPr>
      <w:r>
        <w:rPr>
          <w:b/>
          <w:bCs/>
        </w:rPr>
        <w:t xml:space="preserve">dV5 drives higher utilization, pricing, and recurring revenue;</w:t>
      </w:r>
    </w:p>
    <w:p>
      <w:pPr>
        <w:pStyle w:val="Compact"/>
        <w:numPr>
          <w:ilvl w:val="0"/>
          <w:numId w:val="1004"/>
        </w:numPr>
      </w:pPr>
      <w:r>
        <w:rPr>
          <w:b/>
          <w:bCs/>
        </w:rPr>
        <w:t xml:space="preserve">Margins absorb tariff and input-cost pressure; and</w:t>
      </w:r>
    </w:p>
    <w:p>
      <w:pPr>
        <w:pStyle w:val="Compact"/>
        <w:numPr>
          <w:ilvl w:val="0"/>
          <w:numId w:val="1004"/>
        </w:numPr>
      </w:pPr>
      <w:r>
        <w:rPr>
          <w:b/>
          <w:bCs/>
        </w:rPr>
        <w:t xml:space="preserve">China and Japan remain manageable drags rather than spreading into a broader international slowdown.</w:t>
      </w:r>
    </w:p>
    <w:p>
      <w:pPr>
        <w:pStyle w:val="FirstParagraph"/>
      </w:pPr>
      <w:r>
        <w:t xml:space="preserve">A clean result would be one that keeps procedures near Q1 levels, demonstrates continued dV5-led revenue outgrowth, and maintains the 2026 procedure and margin outlook. The principal downside scenario is not a single weak metric—it is a combination of slowing U.S. utilization, soft capital placements, and a margin reset attributable to tariffs or international pricing pressure.</w:t>
      </w:r>
    </w:p>
    <w:bookmarkEnd w:id="24"/>
    <w:bookmarkEnd w:id="2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21" Target="https://isrg.gcs-web.com/news-releases/news-release-details/intuitive-announces-innovations-advance-quintuple-aim" TargetMode="External" /><Relationship Type="http://schemas.openxmlformats.org/officeDocument/2006/relationships/hyperlink" Id="rId9" Target="https://isrg.intuitive.com/events/event-details/q2-2026-intuitive-earnings-conference-call/" TargetMode="External" /><Relationship Type="http://schemas.openxmlformats.org/officeDocument/2006/relationships/hyperlink" Id="rId13" Target="https://isrg.intuitive.com/news-releases/news-release-details/intuitive-announces-second-quarter-earnings-5/" TargetMode="External" /><Relationship Type="http://schemas.openxmlformats.org/officeDocument/2006/relationships/hyperlink" Id="rId11" Target="https://isrg.intuitive.com/node/23036/pdf" TargetMode="External" /></Relationships>
</file>

<file path=word/_rels/footnotes.xml.rels><?xml version="1.0" encoding="UTF-8"?><Relationships xmlns="http://schemas.openxmlformats.org/package/2006/relationships"><Relationship Type="http://schemas.openxmlformats.org/officeDocument/2006/relationships/hyperlink" Id="rId21" Target="https://isrg.gcs-web.com/news-releases/news-release-details/intuitive-announces-innovations-advance-quintuple-aim" TargetMode="External" /><Relationship Type="http://schemas.openxmlformats.org/officeDocument/2006/relationships/hyperlink" Id="rId9" Target="https://isrg.intuitive.com/events/event-details/q2-2026-intuitive-earnings-conference-call/" TargetMode="External" /><Relationship Type="http://schemas.openxmlformats.org/officeDocument/2006/relationships/hyperlink" Id="rId13" Target="https://isrg.intuitive.com/news-releases/news-release-details/intuitive-announces-second-quarter-earnings-5/" TargetMode="External" /><Relationship Type="http://schemas.openxmlformats.org/officeDocument/2006/relationships/hyperlink" Id="rId11" Target="https://isrg.intuitive.com/node/23036/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2026-07-16T01:42:06Z</dcterms:created>
  <dcterms:modified xsi:type="dcterms:W3CDTF">2026-07-16T01:42:06Z</dcterms:modified>
</cp:coreProperties>
</file>

<file path=docProps/custom.xml><?xml version="1.0" encoding="utf-8"?>
<Properties xmlns="http://schemas.openxmlformats.org/officeDocument/2006/custom-properties" xmlns:vt="http://schemas.openxmlformats.org/officeDocument/2006/docPropsVTypes"/>
</file>