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J.B. Hunt Transport Services (JBHT) to build a comprehensive earnings preview. Let me start by gathering recent financial documents and news.Let me read the most recent earnings materials and get recent news.Now let me get the Q1 2026 financial figures, recent news, and stock price data.Let me get the year-ago Q2 2025 release for comparison and check recent freight-sector news.Let me search for current analyst consensus expectations for the quarter.Let me pull the segment-level consensus estimates and recent analyst actions.# J.B. Hunt (JBHT) — Q2 2026 Earnings Preview</w:t>
      </w:r>
      <w:r>
        <w:t xml:space="preserve"> </w:t>
      </w:r>
      <w:r>
        <w:rPr>
          <w:b/>
          <w:bCs/>
        </w:rPr>
        <w:t xml:space="preserve">Report date: Wednesday, July 15, 2026 (after close) | 2026Q2 Earnings Call</w:t>
      </w:r>
    </w:p>
    <w:p>
      <w:r>
        <w:pict>
          <v:rect style="width:0;height:1.5pt" o:hralign="center" o:hrstd="t" o:hr="t"/>
        </w:pict>
      </w:r>
    </w:p>
    <w:bookmarkStart w:id="9" w:name="the-setup-in-one-paragraph"/>
    <w:p>
      <w:pPr>
        <w:pStyle w:val="Heading2"/>
      </w:pPr>
      <w:r>
        <w:t xml:space="preserve">The setup in one paragraph</w:t>
      </w:r>
    </w:p>
    <w:p>
      <w:pPr>
        <w:pStyle w:val="FirstParagraph"/>
      </w:pPr>
      <w:r>
        <w:t xml:space="preserve">J.B. Hunt heads into Q2 with the wind at its back for the first time in three years. Management spent all of Q1 arguing that the freight downturn has finally inflected — a</w:t>
      </w:r>
      <w:r>
        <w:t xml:space="preserve"> </w:t>
      </w:r>
      <w:r>
        <w:rPr>
          <w:i/>
          <w:iCs/>
        </w:rPr>
        <w:t xml:space="preserve">supply-led</w:t>
      </w:r>
      <w:r>
        <w:t xml:space="preserve"> </w:t>
      </w:r>
      <w:r>
        <w:t xml:space="preserve">recovery driven by regulatory enforcement pushing non-compliant truckload capacity out of the market. The stock has believed them: shares are up roughly</w:t>
      </w:r>
      <w:r>
        <w:t xml:space="preserve"> </w:t>
      </w:r>
      <w:r>
        <w:rPr>
          <w:b/>
          <w:bCs/>
        </w:rPr>
        <w:t xml:space="preserve">43% year-to-date</w:t>
      </w:r>
      <w:r>
        <w:t xml:space="preserve"> </w:t>
      </w:r>
      <w:r>
        <w:t xml:space="preserve">(from ~</w:t>
      </w:r>
      <m:oMath>
        <m:r>
          <m:t>197</m:t>
        </m:r>
        <m:r>
          <m:t>i</m:t>
        </m:r>
        <m:r>
          <m:t>n</m:t>
        </m:r>
        <m:r>
          <m:t>e</m:t>
        </m:r>
        <m:r>
          <m:t>a</m:t>
        </m:r>
        <m:r>
          <m:t>r</m:t>
        </m:r>
        <m:r>
          <m:t>l</m:t>
        </m:r>
        <m:r>
          <m:t>y</m:t>
        </m:r>
        <m:r>
          <m:t>J</m:t>
        </m:r>
        <m:r>
          <m:t>a</m:t>
        </m:r>
        <m:r>
          <m:t>n</m:t>
        </m:r>
        <m:r>
          <m:t>u</m:t>
        </m:r>
        <m:r>
          <m:t>a</m:t>
        </m:r>
        <m:r>
          <m:t>r</m:t>
        </m:r>
        <m:r>
          <m:t>y</m:t>
        </m:r>
        <m:r>
          <m:t>t</m:t>
        </m:r>
        <m:r>
          <m:t>o</m:t>
        </m:r>
        <m:r>
          <m:t> </m:t>
        </m:r>
      </m:oMath>
      <w:r>
        <w:t xml:space="preserve">281 on July 14), which means expectations are now high and the margin for error is thin. The debate on this print is less "is it improving?" and more "is the improvement fast enough to justify the multiple, and is price finally starting to cover inflation?"</w:t>
      </w:r>
    </w:p>
    <w:p>
      <w:r>
        <w:pict>
          <v:rect style="width:0;height:1.5pt" o:hralign="center" o:hrstd="t" o:hr="t"/>
        </w:pict>
      </w:r>
    </w:p>
    <w:bookmarkEnd w:id="9"/>
    <w:bookmarkStart w:id="10" w:name="consensus-expectations"/>
    <w:p>
      <w:pPr>
        <w:pStyle w:val="Heading2"/>
      </w:pPr>
      <w:r>
        <w:t xml:space="preserve">Consensus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Y/Y</w:t>
            </w:r>
          </w:p>
        </w:tc>
      </w:tr>
      <w:tr>
        <w:tc>
          <w:tcPr/>
          <w:p>
            <w:pPr>
              <w:pStyle w:val="Compact"/>
            </w:pPr>
            <w:r>
              <w:t xml:space="preserve">Revenue</w:t>
            </w:r>
          </w:p>
        </w:tc>
        <w:tc>
          <w:tcPr/>
          <w:p>
            <w:pPr>
              <w:pStyle w:val="Compact"/>
            </w:pPr>
            <w:r>
              <w:t xml:space="preserve">~$3.17–3.21B</w:t>
            </w:r>
          </w:p>
        </w:tc>
        <w:tc>
          <w:tcPr/>
          <w:p>
            <w:pPr>
              <w:pStyle w:val="Compact"/>
            </w:pPr>
            <w:r>
              <w:t xml:space="preserve">$2.93B</w:t>
            </w:r>
          </w:p>
        </w:tc>
        <w:tc>
          <w:tcPr/>
          <w:p>
            <w:pPr>
              <w:pStyle w:val="Compact"/>
            </w:pPr>
            <w:r>
              <w:t xml:space="preserve">+~8%</w:t>
            </w:r>
          </w:p>
        </w:tc>
      </w:tr>
      <w:tr>
        <w:tc>
          <w:tcPr/>
          <w:p>
            <w:pPr>
              <w:pStyle w:val="Compact"/>
            </w:pPr>
            <w:r>
              <w:t xml:space="preserve">Diluted EPS</w:t>
            </w:r>
          </w:p>
        </w:tc>
        <w:tc>
          <w:tcPr/>
          <w:p>
            <w:pPr>
              <w:pStyle w:val="Compact"/>
            </w:pPr>
            <w:r>
              <w:t xml:space="preserve">~$1.71</w:t>
            </w:r>
          </w:p>
        </w:tc>
        <w:tc>
          <w:tcPr/>
          <w:p>
            <w:pPr>
              <w:pStyle w:val="Compact"/>
            </w:pPr>
            <w:r>
              <w:t xml:space="preserve">$1.31</w:t>
            </w:r>
          </w:p>
        </w:tc>
        <w:tc>
          <w:tcPr/>
          <w:p>
            <w:pPr>
              <w:pStyle w:val="Compact"/>
            </w:pPr>
            <w:r>
              <w:t xml:space="preserve">+~30%</w:t>
            </w:r>
          </w:p>
        </w:tc>
      </w:tr>
      <w:tr>
        <w:tc>
          <w:tcPr/>
          <w:p>
            <w:pPr>
              <w:pStyle w:val="Compact"/>
            </w:pPr>
            <w:r>
              <w:t xml:space="preserve">Intermodal revenue</w:t>
            </w:r>
          </w:p>
        </w:tc>
        <w:tc>
          <w:tcPr/>
          <w:p>
            <w:pPr>
              <w:pStyle w:val="Compact"/>
            </w:pPr>
            <w:r>
              <w:t xml:space="preserve">~$1.49B</w:t>
            </w:r>
          </w:p>
        </w:tc>
        <w:tc>
          <w:tcPr/>
          <w:p>
            <w:pPr>
              <w:pStyle w:val="Compact"/>
            </w:pPr>
            <w:r>
              <w:t xml:space="preserve">$1.44B</w:t>
            </w:r>
          </w:p>
        </w:tc>
        <w:tc>
          <w:tcPr/>
          <w:p>
            <w:pPr>
              <w:pStyle w:val="Compact"/>
            </w:pPr>
            <w:r>
              <w:t xml:space="preserve">+~3.6%</w:t>
            </w:r>
          </w:p>
        </w:tc>
      </w:tr>
      <w:tr>
        <w:tc>
          <w:tcPr/>
          <w:p>
            <w:pPr>
              <w:pStyle w:val="Compact"/>
            </w:pPr>
            <w:r>
              <w:t xml:space="preserve">Intermodal loads</w:t>
            </w:r>
          </w:p>
        </w:tc>
        <w:tc>
          <w:tcPr/>
          <w:p>
            <w:pPr>
              <w:pStyle w:val="Compact"/>
            </w:pPr>
            <w:r>
              <w:t xml:space="preserve">~537,000</w:t>
            </w:r>
          </w:p>
        </w:tc>
        <w:tc>
          <w:tcPr/>
          <w:p>
            <w:pPr>
              <w:pStyle w:val="Compact"/>
            </w:pPr>
            <w:r>
              <w:t xml:space="preserve">525,161</w:t>
            </w:r>
          </w:p>
        </w:tc>
        <w:tc>
          <w:tcPr/>
          <w:p>
            <w:pPr>
              <w:pStyle w:val="Compact"/>
            </w:pPr>
            <w:r>
              <w:t xml:space="preserve">+~2–3%</w:t>
            </w:r>
          </w:p>
        </w:tc>
      </w:tr>
      <w:tr>
        <w:tc>
          <w:tcPr/>
          <w:p>
            <w:pPr>
              <w:pStyle w:val="Compact"/>
            </w:pPr>
            <w:r>
              <w:t xml:space="preserve">ICS loads</w:t>
            </w:r>
          </w:p>
        </w:tc>
        <w:tc>
          <w:tcPr/>
          <w:p>
            <w:pPr>
              <w:pStyle w:val="Compact"/>
            </w:pPr>
            <w:r>
              <w:t xml:space="preserve">~142,000</w:t>
            </w:r>
          </w:p>
        </w:tc>
        <w:tc>
          <w:tcPr/>
          <w:p>
            <w:pPr>
              <w:pStyle w:val="Compact"/>
            </w:pPr>
            <w:r>
              <w:t xml:space="preserve">132,315</w:t>
            </w:r>
          </w:p>
        </w:tc>
        <w:tc>
          <w:tcPr/>
          <w:p>
            <w:pPr>
              <w:pStyle w:val="Compact"/>
            </w:pPr>
            <w:r>
              <w:t xml:space="preserve">+~7%</w:t>
            </w:r>
          </w:p>
        </w:tc>
      </w:tr>
    </w:tbl>
    <w:p>
      <w:pPr>
        <w:pStyle w:val="BodyText"/>
      </w:pPr>
      <w:r>
        <w:t xml:space="preserve">Context that matters: JBHT</w:t>
      </w:r>
      <w:r>
        <w:t xml:space="preserve"> </w:t>
      </w:r>
      <w:r>
        <w:rPr>
          <w:b/>
          <w:bCs/>
        </w:rPr>
        <w:t xml:space="preserve">beat on both lines last quarter</w:t>
      </w:r>
      <w:r>
        <w:t xml:space="preserve"> </w:t>
      </w:r>
      <w:r>
        <w:t xml:space="preserve">(Q1 EPS</w:t>
      </w:r>
      <w:r>
        <w:t xml:space="preserve"> </w:t>
      </w:r>
      <m:oMath>
        <m:r>
          <m:t>1.49</m:t>
        </m:r>
        <m:r>
          <m:t>v</m:t>
        </m:r>
        <m:r>
          <m:t>s</m:t>
        </m:r>
        <m:r>
          <m:rPr>
            <m:sty m:val="p"/>
          </m:rPr>
          <m:t>.</m:t>
        </m:r>
        <m:r>
          <m:t> </m:t>
        </m:r>
      </m:oMath>
      <w:r>
        <w:t xml:space="preserve">1.45 consensus; revenue</w:t>
      </w:r>
      <w:r>
        <w:t xml:space="preserve"> </w:t>
      </w:r>
      <m:oMath>
        <m:r>
          <m:t>3.06</m:t>
        </m:r>
        <m:r>
          <m:t>B</m:t>
        </m:r>
        <m:r>
          <m:t>v</m:t>
        </m:r>
        <m:r>
          <m:t>s</m:t>
        </m:r>
        <m:r>
          <m:rPr>
            <m:sty m:val="p"/>
          </m:rPr>
          <m:t>.</m:t>
        </m:r>
        <m:r>
          <m:t> </m:t>
        </m:r>
      </m:oMath>
      <w:r>
        <w:t xml:space="preserve">2.94B), and Q1 EPS grew</w:t>
      </w:r>
      <w:r>
        <w:t xml:space="preserve"> </w:t>
      </w:r>
      <w:r>
        <w:rPr>
          <w:b/>
          <w:bCs/>
        </w:rPr>
        <w:t xml:space="preserve">+27% Y/Y</w:t>
      </w:r>
      <w:r>
        <w:t xml:space="preserve">. Consensus for Q2 embeds an</w:t>
      </w:r>
      <w:r>
        <w:t xml:space="preserve"> </w:t>
      </w:r>
      <w:r>
        <w:rPr>
          <w:i/>
          <w:iCs/>
        </w:rPr>
        <w:t xml:space="preserve">acceleration</w:t>
      </w:r>
      <w:r>
        <w:t xml:space="preserve"> </w:t>
      </w:r>
      <w:r>
        <w:t xml:space="preserve">to ~+30% EPS growth against an easy comp — Q2 2025 was actually a trough quarter where operating income fell 4% Y/Y. Notably, JBHT has been quiet on the news wire heading into the print, so the model is driven by the Q1 call narrative and freight-cycle data points.</w:t>
      </w:r>
    </w:p>
    <w:p>
      <w:r>
        <w:pict>
          <v:rect style="width:0;height:1.5pt" o:hralign="center" o:hrstd="t" o:hr="t"/>
        </w:pict>
      </w:r>
    </w:p>
    <w:bookmarkEnd w:id="10"/>
    <w:bookmarkStart w:id="11" w:name="Xe909f1b8e87abd43d53bb6a03144329489ca492"/>
    <w:p>
      <w:pPr>
        <w:pStyle w:val="Heading2"/>
      </w:pPr>
      <w:r>
        <w:t xml:space="preserve">Why the bulls are paying up: the capacity-led recovery thesis</w:t>
      </w:r>
    </w:p>
    <w:p>
      <w:pPr>
        <w:pStyle w:val="FirstParagraph"/>
      </w:pPr>
      <w:r>
        <w:t xml:space="preserve">The core story is a structural tightening in truckload supply. On the Q1 call, sales chief Spencer Frazier framed this as a genuine cycle change — the first capacity-led inflection since the ELD mandate of 2017–18 — with truckload rates, tender rejections, and ISM PMI at their highest since 2022 and trucking employment at its lowest. The driver of the squeeze is</w:t>
      </w:r>
      <w:r>
        <w:t xml:space="preserve"> </w:t>
      </w:r>
      <w:r>
        <w:rPr>
          <w:b/>
          <w:bCs/>
        </w:rPr>
        <w:t xml:space="preserve">regulatory enforcement</w:t>
      </w:r>
      <w:r>
        <w:t xml:space="preserve">: English-language-proficiency rules, cabotage crackdowns in border states (Texas, Ohio, Michigan), non-domiciled CDL restrictions, shuttered truck-driving schools, and disabled ELD providers. Management expects enforcement to</w:t>
      </w:r>
      <w:r>
        <w:t xml:space="preserve"> </w:t>
      </w:r>
      <w:r>
        <w:rPr>
          <w:i/>
          <w:iCs/>
        </w:rPr>
        <w:t xml:space="preserve">accelerate</w:t>
      </w:r>
      <w:r>
        <w:t xml:space="preserve">, not fade.</w:t>
      </w:r>
    </w:p>
    <w:p>
      <w:pPr>
        <w:pStyle w:val="BodyText"/>
      </w:pPr>
      <w:r>
        <w:t xml:space="preserve">Why it matters for JBHT: as a service-and-scale player, it wins share when routing guides break down and shippers consolidate freight with reliable providers. The read-through to watch in Q2:</w:t>
      </w:r>
    </w:p>
    <w:p>
      <w:pPr>
        <w:pStyle w:val="Compact"/>
        <w:numPr>
          <w:ilvl w:val="0"/>
          <w:numId w:val="1001"/>
        </w:numPr>
      </w:pPr>
      <w:r>
        <w:rPr>
          <w:b/>
          <w:bCs/>
        </w:rPr>
        <w:t xml:space="preserve">Spot rates lead, contract follows.</w:t>
      </w:r>
      <w:r>
        <w:t xml:space="preserve"> </w:t>
      </w:r>
      <w:r>
        <w:t xml:space="preserve">Management's own framework: spot moves first, highway contract reprices over 3–6 months, intermodal contract over 6–12 months. Q2 should be the quarter where more of that contract repricing shows up.</w:t>
      </w:r>
    </w:p>
    <w:p>
      <w:pPr>
        <w:pStyle w:val="Compact"/>
        <w:numPr>
          <w:ilvl w:val="0"/>
          <w:numId w:val="1001"/>
        </w:numPr>
      </w:pPr>
      <w:r>
        <w:rPr>
          <w:b/>
          <w:bCs/>
        </w:rPr>
        <w:t xml:space="preserve">Independent corroboration is mixed-but-firming.</w:t>
      </w:r>
      <w:r>
        <w:t xml:space="preserve"> </w:t>
      </w:r>
      <w:r>
        <w:t xml:space="preserve">Hapag-Lloyd just sharply raised full-year EBITDA guidance on strong demand and elevated spot freight prices — but Daimler Truck</w:t>
      </w:r>
      <w:r>
        <w:t xml:space="preserve"> </w:t>
      </w:r>
      <w:r>
        <w:rPr>
          <w:i/>
          <w:iCs/>
        </w:rPr>
        <w:t xml:space="preserve">cut</w:t>
      </w:r>
      <w:r>
        <w:t xml:space="preserve"> </w:t>
      </w:r>
      <w:r>
        <w:t xml:space="preserve">its Class 8 outlook citing "continuous weakness in North America," a reminder the industrial backdrop is uneven.</w:t>
      </w:r>
    </w:p>
    <w:p>
      <w:r>
        <w:pict>
          <v:rect style="width:0;height:1.5pt" o:hralign="center" o:hrstd="t" o:hr="t"/>
        </w:pict>
      </w:r>
    </w:p>
    <w:bookmarkEnd w:id="11"/>
    <w:bookmarkStart w:id="12" w:name="segment-by-segment-watch-list"/>
    <w:p>
      <w:pPr>
        <w:pStyle w:val="Heading2"/>
      </w:pPr>
      <w:r>
        <w:t xml:space="preserve">Segment-by-segment watch list</w:t>
      </w:r>
    </w:p>
    <w:p>
      <w:pPr>
        <w:pStyle w:val="FirstParagraph"/>
      </w:pPr>
      <w:r>
        <w:rPr>
          <w:b/>
          <w:bCs/>
        </w:rPr>
        <w:t xml:space="preserve">Intermodal (JBI) — the swing factor.</w:t>
      </w:r>
      <w:r>
        <w:t xml:space="preserve"> </w:t>
      </w:r>
      <w:r>
        <w:t xml:space="preserve">Q1 delivered a record first quarter for volume (+3%), with the</w:t>
      </w:r>
      <w:r>
        <w:t xml:space="preserve"> </w:t>
      </w:r>
      <w:r>
        <w:rPr>
          <w:b/>
          <w:bCs/>
        </w:rPr>
        <w:t xml:space="preserve">eastern network +7%</w:t>
      </w:r>
      <w:r>
        <w:t xml:space="preserve"> </w:t>
      </w:r>
      <w:r>
        <w:t xml:space="preserve">driving road-to-rail conversion while transcon was flat, and operating income up 21% on drayage productivity and network efficiency. Key tension into Q2:</w:t>
      </w:r>
      <w:r>
        <w:t xml:space="preserve"> </w:t>
      </w:r>
      <w:r>
        <w:rPr>
          <w:b/>
          <w:bCs/>
        </w:rPr>
        <w:t xml:space="preserve">bid season.</w:t>
      </w:r>
      <w:r>
        <w:t xml:space="preserve"> </w:t>
      </w:r>
      <w:r>
        <w:t xml:space="preserve">Management flagged that transcon repricing was</w:t>
      </w:r>
      <w:r>
        <w:t xml:space="preserve"> </w:t>
      </w:r>
      <w:r>
        <w:rPr>
          <w:i/>
          <w:iCs/>
        </w:rPr>
        <w:t xml:space="preserve">more competitive than expected</w:t>
      </w:r>
      <w:r>
        <w:t xml:space="preserve"> </w:t>
      </w:r>
      <w:r>
        <w:t xml:space="preserve">and westbound backhaul repriced</w:t>
      </w:r>
      <w:r>
        <w:t xml:space="preserve"> </w:t>
      </w:r>
      <w:r>
        <w:rPr>
          <w:i/>
          <w:iCs/>
        </w:rPr>
        <w:t xml:space="preserve">negative</w:t>
      </w:r>
      <w:r>
        <w:t xml:space="preserve">, while the east (where JBI competes head-to-head with trucks) has pricing power. Rising fuel prices also enhance intermodal's value proposition. Watch for: the monthly volume cadence (Q1 exited at +8% in March), whether transcon pricing firms, and any commentary on completed bid-season yields. Q2 2025 baseline: $1.44B revenue, $95.7M OI, RPL $2,738.</w:t>
      </w:r>
    </w:p>
    <w:p>
      <w:pPr>
        <w:pStyle w:val="BodyText"/>
      </w:pPr>
      <w:r>
        <w:rPr>
          <w:b/>
          <w:bCs/>
        </w:rPr>
        <w:t xml:space="preserve">Dedicated (DCS) — the steady compounder, but timing-sensitive.</w:t>
      </w:r>
      <w:r>
        <w:t xml:space="preserve"> </w:t>
      </w:r>
      <w:r>
        <w:t xml:space="preserve">Q1 OI grew 9% on flat trucks and 96% customer retention. Management guided to only</w:t>
      </w:r>
      <w:r>
        <w:t xml:space="preserve"> </w:t>
      </w:r>
      <w:r>
        <w:rPr>
          <w:b/>
          <w:bCs/>
        </w:rPr>
        <w:t xml:space="preserve">modest 2026 OI growth</w:t>
      </w:r>
      <w:r>
        <w:t xml:space="preserve"> </w:t>
      </w:r>
      <w:r>
        <w:t xml:space="preserve">and reiterated a full-year target of</w:t>
      </w:r>
      <w:r>
        <w:t xml:space="preserve"> </w:t>
      </w:r>
      <w:r>
        <w:rPr>
          <w:b/>
          <w:bCs/>
        </w:rPr>
        <w:t xml:space="preserve">800–1,000 net truck sales</w:t>
      </w:r>
      <w:r>
        <w:t xml:space="preserve"> </w:t>
      </w:r>
      <w:r>
        <w:t xml:space="preserve">(295 sold in Q1), with a strong-and-strengthening pipeline. The catch: the more trucks they sell, the more</w:t>
      </w:r>
      <w:r>
        <w:t xml:space="preserve"> </w:t>
      </w:r>
      <w:r>
        <w:rPr>
          <w:b/>
          <w:bCs/>
        </w:rPr>
        <w:t xml:space="preserve">start-up expense</w:t>
      </w:r>
      <w:r>
        <w:t xml:space="preserve"> </w:t>
      </w:r>
      <w:r>
        <w:t xml:space="preserve">they eat, and the "wave" of new business has been pushed a bit later than hoped. Also watch driver-hiring cost pressure — tighter supply is a double-edged sword. Q2 2025 baseline: $847M revenue, $93.7M OI.</w:t>
      </w:r>
    </w:p>
    <w:p>
      <w:pPr>
        <w:pStyle w:val="BodyText"/>
      </w:pPr>
      <w:r>
        <w:rPr>
          <w:b/>
          <w:bCs/>
        </w:rPr>
        <w:t xml:space="preserve">Integrated Capacity Solutions (ICS/brokerage) — can it get back to black?</w:t>
      </w:r>
      <w:r>
        <w:t xml:space="preserve"> </w:t>
      </w:r>
      <w:r>
        <w:t xml:space="preserve">This is the clearest cyclical tell. Volume is growing (Q1 +10%) and rates are rising (double-digit brokerage rate increases cited), but</w:t>
      </w:r>
      <w:r>
        <w:t xml:space="preserve"> </w:t>
      </w:r>
      <w:r>
        <w:rPr>
          <w:b/>
          <w:bCs/>
        </w:rPr>
        <w:t xml:space="preserve">purchased-transportation cost is compressing margins</w:t>
      </w:r>
      <w:r>
        <w:t xml:space="preserve"> </w:t>
      </w:r>
      <w:r>
        <w:t xml:space="preserve">— Q1 gross margin fell to 12.0% from 15.3%, and ICS posted a $(4.7)M operating loss. For the recovery thesis to be validated, investors want to see the gross-margin bleed stabilize and a path back toward the ~15.5% margin/near-breakeven ICS printed in Q2 2025. Consensus loads of ~142,000 imply continued share gains.</w:t>
      </w:r>
    </w:p>
    <w:p>
      <w:pPr>
        <w:pStyle w:val="BodyText"/>
      </w:pPr>
      <w:r>
        <w:rPr>
          <w:b/>
          <w:bCs/>
        </w:rPr>
        <w:t xml:space="preserve">Truckload (JBT) — volume strong, margin squeezed.</w:t>
      </w:r>
      <w:r>
        <w:t xml:space="preserve"> </w:t>
      </w:r>
      <w:r>
        <w:t xml:space="preserve">Q1 revenue +23% on +19% loads with trailer turns +15%, but gross profit</w:t>
      </w:r>
      <w:r>
        <w:t xml:space="preserve"> </w:t>
      </w:r>
      <w:r>
        <w:rPr>
          <w:i/>
          <w:iCs/>
        </w:rPr>
        <w:t xml:space="preserve">fell 5%</w:t>
      </w:r>
      <w:r>
        <w:t xml:space="preserve"> </w:t>
      </w:r>
      <w:r>
        <w:t xml:space="preserve">as tight capacity and a fuel spike forced more third-party sourcing. Watch whether pricing catches up to purchase-transportation costs. Q2 2025 baseline: $177M revenue, $3.4M OI.</w:t>
      </w:r>
    </w:p>
    <w:p>
      <w:pPr>
        <w:pStyle w:val="BodyText"/>
      </w:pPr>
      <w:r>
        <w:rPr>
          <w:b/>
          <w:bCs/>
        </w:rPr>
        <w:t xml:space="preserve">Final Mile (FMS) — self-help vs. a revenue hole.</w:t>
      </w:r>
      <w:r>
        <w:t xml:space="preserve"> </w:t>
      </w:r>
      <w:r>
        <w:t xml:space="preserve">Facing a</w:t>
      </w:r>
      <w:r>
        <w:t xml:space="preserve"> </w:t>
      </w:r>
      <w:r>
        <w:rPr>
          <w:b/>
          <w:bCs/>
        </w:rPr>
        <w:t xml:space="preserve">~$90M full-year revenue headwind</w:t>
      </w:r>
      <w:r>
        <w:t xml:space="preserve"> </w:t>
      </w:r>
      <w:r>
        <w:t xml:space="preserve">from previously lost business, yet Q1 OI still jumped 53% on better revenue quality and lower costs. The question is how much of the lost revenue new wins can backfill without sacrificing returns. Q2 2025 baseline: $211M revenue, $8.0M OI.</w:t>
      </w:r>
    </w:p>
    <w:p>
      <w:r>
        <w:pict>
          <v:rect style="width:0;height:1.5pt" o:hralign="center" o:hrstd="t" o:hr="t"/>
        </w:pict>
      </w:r>
    </w:p>
    <w:bookmarkEnd w:id="12"/>
    <w:bookmarkStart w:id="13" w:name="X66e91864efc580e853acd2c7e18110c414ddb89"/>
    <w:p>
      <w:pPr>
        <w:pStyle w:val="Heading2"/>
      </w:pPr>
      <w:r>
        <w:t xml:space="preserve">The margin &amp; cost story (the underappreciated angle)</w:t>
      </w:r>
    </w:p>
    <w:p>
      <w:pPr>
        <w:pStyle w:val="FirstParagraph"/>
      </w:pPr>
      <w:r>
        <w:t xml:space="preserve">The most important message from Q1: JBHT expanded consolidated operating margin</w:t>
      </w:r>
      <w:r>
        <w:t xml:space="preserve"> </w:t>
      </w:r>
      <w:r>
        <w:rPr>
          <w:b/>
          <w:bCs/>
        </w:rPr>
        <w:t xml:space="preserve">70 bps Y/Y</w:t>
      </w:r>
      <w:r>
        <w:t xml:space="preserve"> </w:t>
      </w:r>
      <w:r>
        <w:rPr>
          <w:i/>
          <w:iCs/>
        </w:rPr>
        <w:t xml:space="preserve">without meaningful help from price</w:t>
      </w:r>
      <w:r>
        <w:t xml:space="preserve"> </w:t>
      </w:r>
      <w:r>
        <w:t xml:space="preserve">— pricing still hadn't covered core inflation. That was driven by the</w:t>
      </w:r>
      <w:r>
        <w:t xml:space="preserve"> </w:t>
      </w:r>
      <w:r>
        <w:rPr>
          <w:b/>
          <w:bCs/>
        </w:rPr>
        <w:t xml:space="preserve">"lowering our cost to serve" initiative</w:t>
      </w:r>
      <w:r>
        <w:t xml:space="preserve">, now running north of a</w:t>
      </w:r>
      <w:r>
        <w:t xml:space="preserve"> </w:t>
      </w:r>
      <w:r>
        <w:rPr>
          <w:b/>
          <w:bCs/>
        </w:rPr>
        <w:t xml:space="preserve">$130M annualized pace vs. the original $100M target</w:t>
      </w:r>
      <w:r>
        <w:t xml:space="preserve">, plus broad productivity gains. Simultaneously, they absorbed higher insurance premiums, medical costs, and worse weather.</w:t>
      </w:r>
    </w:p>
    <w:p>
      <w:pPr>
        <w:pStyle w:val="BodyText"/>
      </w:pPr>
      <w:r>
        <w:t xml:space="preserve">The bull case for the print: this is a company with self-help margin momentum</w:t>
      </w:r>
      <w:r>
        <w:t xml:space="preserve"> </w:t>
      </w:r>
      <w:r>
        <w:rPr>
          <w:i/>
          <w:iCs/>
        </w:rPr>
        <w:t xml:space="preserve">before</w:t>
      </w:r>
      <w:r>
        <w:t xml:space="preserve"> </w:t>
      </w:r>
      <w:r>
        <w:t xml:space="preserve">the pricing tailwind arrives. CFO Brad Delco signaled confidence that pricing will</w:t>
      </w:r>
      <w:r>
        <w:t xml:space="preserve"> </w:t>
      </w:r>
      <w:r>
        <w:rPr>
          <w:i/>
          <w:iCs/>
        </w:rPr>
        <w:t xml:space="preserve">exceed</w:t>
      </w:r>
      <w:r>
        <w:t xml:space="preserve"> </w:t>
      </w:r>
      <w:r>
        <w:t xml:space="preserve">core inflation going forward, though he flagged uncertainty on when third-party purchased-transportation costs settle. If Q2 shows both cost-out momentum</w:t>
      </w:r>
      <w:r>
        <w:t xml:space="preserve"> </w:t>
      </w:r>
      <w:r>
        <w:rPr>
          <w:b/>
          <w:bCs/>
        </w:rPr>
        <w:t xml:space="preserve">and</w:t>
      </w:r>
      <w:r>
        <w:t xml:space="preserve"> </w:t>
      </w:r>
      <w:r>
        <w:t xml:space="preserve">early pricing traction, incremental margins could impress.</w:t>
      </w:r>
    </w:p>
    <w:p>
      <w:r>
        <w:pict>
          <v:rect style="width:0;height:1.5pt" o:hralign="center" o:hrstd="t" o:hr="t"/>
        </w:pict>
      </w:r>
    </w:p>
    <w:bookmarkEnd w:id="13"/>
    <w:bookmarkStart w:id="14" w:name="risks-and-things-that-could-disappoint"/>
    <w:p>
      <w:pPr>
        <w:pStyle w:val="Heading2"/>
      </w:pPr>
      <w:r>
        <w:t xml:space="preserve">Risks and things that could disappoint</w:t>
      </w:r>
    </w:p>
    <w:p>
      <w:pPr>
        <w:pStyle w:val="Compact"/>
        <w:numPr>
          <w:ilvl w:val="0"/>
          <w:numId w:val="1002"/>
        </w:numPr>
      </w:pPr>
      <w:r>
        <w:rPr>
          <w:b/>
          <w:bCs/>
        </w:rPr>
        <w:t xml:space="preserve">High bar / crowded trade.</w:t>
      </w:r>
      <w:r>
        <w:t xml:space="preserve"> </w:t>
      </w:r>
      <w:r>
        <w:t xml:space="preserve">After a ~43% YTD run, an in-line print may not be enough; the whisper is likely above the $1.71 consensus.</w:t>
      </w:r>
    </w:p>
    <w:p>
      <w:pPr>
        <w:pStyle w:val="Compact"/>
        <w:numPr>
          <w:ilvl w:val="0"/>
          <w:numId w:val="1002"/>
        </w:numPr>
      </w:pPr>
      <w:r>
        <w:rPr>
          <w:b/>
          <w:bCs/>
        </w:rPr>
        <w:t xml:space="preserve">Purchased-transportation squeeze persists.</w:t>
      </w:r>
      <w:r>
        <w:t xml:space="preserve"> </w:t>
      </w:r>
      <w:r>
        <w:t xml:space="preserve">If ICS and JBT gross margins keep compressing faster than contract price catches up, the "recovery" optics weaken.</w:t>
      </w:r>
    </w:p>
    <w:p>
      <w:pPr>
        <w:pStyle w:val="Compact"/>
        <w:numPr>
          <w:ilvl w:val="0"/>
          <w:numId w:val="1002"/>
        </w:numPr>
      </w:pPr>
      <w:r>
        <w:rPr>
          <w:b/>
          <w:bCs/>
        </w:rPr>
        <w:t xml:space="preserve">Transcon intermodal pricing.</w:t>
      </w:r>
      <w:r>
        <w:t xml:space="preserve"> </w:t>
      </w:r>
      <w:r>
        <w:t xml:space="preserve">Management already pre-warned it was more competitive than expected — a soft bid-season update here would sting.</w:t>
      </w:r>
    </w:p>
    <w:p>
      <w:pPr>
        <w:pStyle w:val="Compact"/>
        <w:numPr>
          <w:ilvl w:val="0"/>
          <w:numId w:val="1002"/>
        </w:numPr>
      </w:pPr>
      <w:r>
        <w:rPr>
          <w:b/>
          <w:bCs/>
        </w:rPr>
        <w:t xml:space="preserve">Demand, not just supply.</w:t>
      </w:r>
      <w:r>
        <w:t xml:space="preserve"> </w:t>
      </w:r>
      <w:r>
        <w:t xml:space="preserve">The recovery is supply-led; a genuinely weak consumer/industrial demand signal (echoing Daimler Truck's North America caution) would cap the upside.</w:t>
      </w:r>
    </w:p>
    <w:p>
      <w:pPr>
        <w:pStyle w:val="Compact"/>
        <w:numPr>
          <w:ilvl w:val="0"/>
          <w:numId w:val="1002"/>
        </w:numPr>
      </w:pPr>
      <w:r>
        <w:rPr>
          <w:b/>
          <w:bCs/>
        </w:rPr>
        <w:t xml:space="preserve">Cost inflation.</w:t>
      </w:r>
      <w:r>
        <w:t xml:space="preserve"> </w:t>
      </w:r>
      <w:r>
        <w:t xml:space="preserve">Driver wages are rising with the tighter market, and insurance/medical claims have been persistent headwinds.</w:t>
      </w:r>
    </w:p>
    <w:p>
      <w:pPr>
        <w:pStyle w:val="Compact"/>
        <w:numPr>
          <w:ilvl w:val="0"/>
          <w:numId w:val="1002"/>
        </w:numPr>
      </w:pPr>
      <w:r>
        <w:rPr>
          <w:b/>
          <w:bCs/>
        </w:rPr>
        <w:t xml:space="preserve">Capital allocation optics.</w:t>
      </w:r>
      <w:r>
        <w:t xml:space="preserve"> </w:t>
      </w:r>
      <w:r>
        <w:t xml:space="preserve">Q1 buybacks slowed dramatically to ~383K shares/</w:t>
      </w:r>
      <m:oMath>
        <m:r>
          <m:t>80</m:t>
        </m:r>
        <m:r>
          <m:t>M</m:t>
        </m:r>
        <m:r>
          <m:rPr>
            <m:sty m:val="p"/>
          </m:rPr>
          <m:t>(</m:t>
        </m:r>
        <m:r>
          <m:t>v</m:t>
        </m:r>
        <m:r>
          <m:t>s</m:t>
        </m:r>
        <m:r>
          <m:rPr>
            <m:sty m:val="p"/>
          </m:rPr>
          <m:t>.</m:t>
        </m:r>
        <m:r>
          <m:t> </m:t>
        </m:r>
        <m:r>
          <m:t>2.4</m:t>
        </m:r>
        <m:r>
          <m:t>M</m:t>
        </m:r>
        <m:r>
          <m:t>s</m:t>
        </m:r>
        <m:r>
          <m:t>h</m:t>
        </m:r>
        <m:r>
          <m:t>a</m:t>
        </m:r>
        <m:r>
          <m:t>r</m:t>
        </m:r>
        <m:r>
          <m:t>e</m:t>
        </m:r>
        <m:r>
          <m:t>s</m:t>
        </m:r>
        <m:r>
          <m:rPr>
            <m:sty m:val="p"/>
          </m:rPr>
          <m:t>/</m:t>
        </m:r>
      </m:oMath>
      <w:r>
        <w:t xml:space="preserve">319M in Q2 2025) as the stock ran up; leverage sits at a comfortable ~0.8x with ~$888M left on the authorization, so watch whether they lean back in.</w:t>
      </w:r>
    </w:p>
    <w:p>
      <w:r>
        <w:pict>
          <v:rect style="width:0;height:1.5pt" o:hralign="center" o:hrstd="t" o:hr="t"/>
        </w:pict>
      </w:r>
    </w:p>
    <w:bookmarkEnd w:id="14"/>
    <w:bookmarkStart w:id="15" w:name="bottom-line"/>
    <w:p>
      <w:pPr>
        <w:pStyle w:val="Heading2"/>
      </w:pPr>
      <w:r>
        <w:t xml:space="preserve">Bottom line</w:t>
      </w:r>
    </w:p>
    <w:p>
      <w:pPr>
        <w:pStyle w:val="FirstParagraph"/>
      </w:pPr>
      <w:r>
        <w:t xml:space="preserve">The narrative is genuinely bullish — a structural, enforcement-driven truckload capacity purge, intermodal share gains, cost-out ahead of plan, and pricing that management believes will finally out-run inflation. The numbers to judge it against:</w:t>
      </w:r>
      <w:r>
        <w:t xml:space="preserve"> </w:t>
      </w:r>
      <w:r>
        <w:rPr>
          <w:b/>
          <w:bCs/>
        </w:rPr>
        <w:t xml:space="preserve">~</w:t>
      </w:r>
      <m:oMath>
        <m:r>
          <m:t>1.71</m:t>
        </m:r>
        <m:r>
          <m:t>E</m:t>
        </m:r>
        <m:r>
          <m:t>P</m:t>
        </m:r>
        <m:r>
          <m:t>S</m:t>
        </m:r>
        <m:r>
          <m:rPr>
            <m:sty m:val="p"/>
          </m:rPr>
          <m:t>/</m:t>
        </m:r>
        <m:r>
          <m:t> </m:t>
        </m:r>
      </m:oMath>
      <w:r>
        <w:rPr>
          <w:b/>
          <w:bCs/>
        </w:rPr>
        <w:t xml:space="preserve">3.2B revenue</w:t>
      </w:r>
      <w:r>
        <w:t xml:space="preserve">, up ~30% and ~8% respectively against a soft year-ago base. The three needles to thread on the call are (1)</w:t>
      </w:r>
      <w:r>
        <w:t xml:space="preserve"> </w:t>
      </w:r>
      <w:r>
        <w:rPr>
          <w:b/>
          <w:bCs/>
        </w:rPr>
        <w:t xml:space="preserve">intermodal bid-season yields</w:t>
      </w:r>
      <w:r>
        <w:t xml:space="preserve">, especially whether transcon firms and price finally covers inflation; (2)</w:t>
      </w:r>
      <w:r>
        <w:t xml:space="preserve"> </w:t>
      </w:r>
      <w:r>
        <w:rPr>
          <w:b/>
          <w:bCs/>
        </w:rPr>
        <w:t xml:space="preserve">ICS/JBT gross-margin stabilization</w:t>
      </w:r>
      <w:r>
        <w:t xml:space="preserve"> </w:t>
      </w:r>
      <w:r>
        <w:t xml:space="preserve">as proof the cycle is turning in the market-sensitive businesses; and (3)</w:t>
      </w:r>
      <w:r>
        <w:t xml:space="preserve"> </w:t>
      </w:r>
      <w:r>
        <w:rPr>
          <w:b/>
          <w:bCs/>
        </w:rPr>
        <w:t xml:space="preserve">incremental margins</w:t>
      </w:r>
      <w:r>
        <w:t xml:space="preserve"> </w:t>
      </w:r>
      <w:r>
        <w:t xml:space="preserve">demonstrating that self-help plus early price is compounding. Given the stock's run, the risk skews toward a "good-but-not-good-enough" reaction unless management raises the tone on pricing and confirms the recovery is broadening from supply into demand.</w:t>
      </w:r>
    </w:p>
    <w:p>
      <w:r>
        <w:pict>
          <v:rect style="width:0;height:1.5pt" o:hralign="center" o:hrstd="t" o:hr="t"/>
        </w:pict>
      </w:r>
    </w:p>
    <w:p>
      <w:pPr>
        <w:pStyle w:val="FirstParagraph"/>
      </w:pPr>
      <w:r>
        <w:rPr>
          <w:i/>
          <w:iCs/>
        </w:rPr>
        <w:t xml:space="preserve">Sources: JBHT Q1 2026 and Q2 2025 earnings releases and Q1 2026 conference call transcript; consensus figures and stock performance from public financial news and market data as of July 14, 2026. This is an informational preview, not investment advice.</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2026-07-15T00:35:06Z</dcterms:created>
  <dcterms:modified xsi:type="dcterms:W3CDTF">2026-07-15T00:35:06Z</dcterms:modified>
</cp:coreProperties>
</file>

<file path=docProps/custom.xml><?xml version="1.0" encoding="utf-8"?>
<Properties xmlns="http://schemas.openxmlformats.org/officeDocument/2006/custom-properties" xmlns:vt="http://schemas.openxmlformats.org/officeDocument/2006/docPropsVTypes"/>
</file>