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solid data. Let me also check J.B. Hunt's own guidance/CapEx targets and any recent 8-K/news around July 2026, plus quickly check the last few days' price action context.# J.B. Hunt Transport Services (JBHT) — Q2 2026 Earnings Preview</w:t>
      </w:r>
    </w:p>
    <w:p>
      <w:pPr>
        <w:pStyle w:val="BodyText"/>
      </w:pPr>
      <w:r>
        <w:rPr>
          <w:b/>
          <w:bCs/>
        </w:rPr>
        <w:t xml:space="preserve">Report date:</w:t>
      </w:r>
      <w:r>
        <w:t xml:space="preserve"> </w:t>
      </w:r>
      <w:r>
        <w:t xml:space="preserve">Wednesday, July 15, 2026, after market close ·</w:t>
      </w:r>
      <w:r>
        <w:t xml:space="preserve"> </w:t>
      </w:r>
      <w:r>
        <w:rPr>
          <w:b/>
          <w:bCs/>
        </w:rPr>
        <w:t xml:space="preserve">Conference call:</w:t>
      </w:r>
      <w:r>
        <w:t xml:space="preserve"> </w:t>
      </w:r>
      <w:r>
        <w:t xml:space="preserve">4:00 PM CT / 5:00 PM ET</w:t>
      </w:r>
    </w:p>
    <w:p>
      <w:r>
        <w:pict>
          <v:rect style="width:0;height:1.5pt" o:hralign="center" o:hrstd="t" o:hr="t"/>
        </w:pict>
      </w:r>
    </w:p>
    <w:bookmarkStart w:id="9" w:name="X02d2b278c4041765665890335838a731aa94dbf"/>
    <w:p>
      <w:pPr>
        <w:pStyle w:val="Heading2"/>
      </w:pPr>
      <w:r>
        <w:t xml:space="preserve">1. Setup: A Big Bar to Clear</w:t>
      </w:r>
    </w:p>
    <w:p>
      <w:pPr>
        <w:pStyle w:val="FirstParagraph"/>
      </w:pPr>
      <w:r>
        <w:t xml:space="preserve">JBHT enters this print riding one of the sharpest re-ratings in the transport sector. The stock closed at</w:t>
      </w:r>
      <w:r>
        <w:t xml:space="preserve"> </w:t>
      </w:r>
      <w:r>
        <w:rPr>
          <w:b/>
          <w:bCs/>
        </w:rPr>
        <w:t xml:space="preserve">$280.91</w:t>
      </w:r>
      <w:r>
        <w:t xml:space="preserve"> </w:t>
      </w:r>
      <w:r>
        <w:t xml:space="preserve">on July 14, 2026, up from roughly $152 a year ago — a gain of nearly</w:t>
      </w:r>
      <w:r>
        <w:t xml:space="preserve"> </w:t>
      </w:r>
      <w:r>
        <w:rPr>
          <w:b/>
          <w:bCs/>
        </w:rPr>
        <w:t xml:space="preserve">85%</w:t>
      </w:r>
      <w:r>
        <w:t xml:space="preserve"> </w:t>
      </w:r>
      <w:r>
        <w:t xml:space="preserve">— with much of that move concentrated in three legs: the October 2025 Q3 beat (stock jumped ~22% in two sessions), the January 2026 print, and the April 2026 Q1 beat (stock gapped up ~6% and kept climbing into a June high near $289).</w:t>
      </w:r>
    </w:p>
    <w:p>
      <w:pPr>
        <w:pStyle w:val="BodyText"/>
      </w:pPr>
      <w:r>
        <w:t xml:space="preserve">That run has left valuation as the central debate. Morgan Stanley downgraded the stock to Underweight from Equal-Weight on July 6 even while lifting its price target to $200 from $190, citing the stock's strong performance over the past six months—with shares surging nearly 40% and delivering an 89% return over the past year—and its record valuation multiple as reasons for the downgrade, noting the shares "currently trade at a P/E ratio of 44.31" and that this elevated valuation sets a higher bar for the company's upcoming earnings report. That view is not universal — Susquehanna, Stephens, Evercore ISI, Benchmark and Baird have all raised targets in the</w:t>
      </w:r>
      <w:r>
        <w:t xml:space="preserve"> </w:t>
      </w:r>
      <m:oMath>
        <m:r>
          <m:t>290</m:t>
        </m:r>
        <m:r>
          <m:rPr>
            <m:sty m:val="p"/>
          </m:rPr>
          <m:t>–</m:t>
        </m:r>
      </m:oMath>
      <w:r>
        <w:t xml:space="preserve">360 range over the past month, arguing the freight cycle inflection still has legs. That dispersion (Underweight at $200 vs. Overweight at $360) is itself a signal: this print needs to validate a growth story that's already richly priced.</w:t>
      </w:r>
    </w:p>
    <w:p>
      <w:pPr>
        <w:pStyle w:val="BodyText"/>
      </w:pPr>
      <w:r>
        <w:rPr>
          <w:b/>
          <w:bCs/>
        </w:rPr>
        <w:t xml:space="preserve">Consensus for Q2 2026:</w:t>
      </w:r>
      <w:r>
        <w:t xml:space="preserve"> </w:t>
      </w:r>
      <w:r>
        <w:t xml:space="preserve">EPS of roughly</w:t>
      </w:r>
      <w:r>
        <w:t xml:space="preserve"> </w:t>
      </w:r>
      <m:oMath>
        <m:r>
          <m:t>1.70</m:t>
        </m:r>
        <m:r>
          <m:rPr>
            <m:sty m:val="p"/>
          </m:rPr>
          <m:t>–</m:t>
        </m:r>
      </m:oMath>
      <w:r>
        <w:rPr>
          <w:b/>
          <w:bCs/>
        </w:rPr>
        <w:t xml:space="preserve">1.71</w:t>
      </w:r>
      <w:r>
        <w:t xml:space="preserve"> </w:t>
      </w:r>
      <w:r>
        <w:t xml:space="preserve">(vs.</w:t>
      </w:r>
      <w:r>
        <w:t xml:space="preserve"> </w:t>
      </w:r>
      <m:oMath>
        <m:r>
          <m:t>1.31</m:t>
        </m:r>
        <m:r>
          <m:t>a</m:t>
        </m:r>
        <m:r>
          <m:t>y</m:t>
        </m:r>
        <m:r>
          <m:t>e</m:t>
        </m:r>
        <m:r>
          <m:t>a</m:t>
        </m:r>
        <m:r>
          <m:t>r</m:t>
        </m:r>
        <m:r>
          <m:t>a</m:t>
        </m:r>
        <m:r>
          <m:t>g</m:t>
        </m:r>
        <m:r>
          <m:t>o</m:t>
        </m:r>
        <m:r>
          <m:rPr>
            <m:sty m:val="p"/>
          </m:rPr>
          <m:t>,</m:t>
        </m:r>
        <m:r>
          <m:rPr>
            <m:sty m:val="p"/>
          </m:rPr>
          <m:t>+</m:t>
        </m:r>
        <m:r>
          <m:t> </m:t>
        </m:r>
        <m:r>
          <m:t>30</m:t>
        </m:r>
      </m:oMath>
      <w:r>
        <w:t xml:space="preserve">3.21 billion**. For full-year 2026, the Street models EPS of</w:t>
      </w:r>
      <w:r>
        <w:t xml:space="preserve"> </w:t>
      </w:r>
      <m:oMath>
        <m:r>
          <m:t>7.27</m:t>
        </m:r>
        <m:r>
          <m:rPr>
            <m:sty m:val="p"/>
          </m:rPr>
          <m:t>*</m:t>
        </m:r>
        <m:r>
          <m:rPr>
            <m:sty m:val="p"/>
          </m:rPr>
          <m:t>*</m:t>
        </m:r>
        <m:r>
          <m:rPr>
            <m:sty m:val="p"/>
          </m:rPr>
          <m:t>(</m:t>
        </m:r>
        <m:r>
          <m:rPr>
            <m:sty m:val="p"/>
          </m:rPr>
          <m:t>+</m:t>
        </m:r>
        <m:r>
          <m:t>18.8</m:t>
        </m:r>
      </m:oMath>
      <w:r>
        <w:rPr>
          <w:b/>
          <w:bCs/>
        </w:rPr>
        <w:t xml:space="preserve">9.04</w:t>
      </w:r>
      <w:r>
        <w:t xml:space="preserve"> </w:t>
      </w:r>
      <w:r>
        <w:t xml:space="preserve">in 2027 (+24.4%).</w:t>
      </w:r>
    </w:p>
    <w:bookmarkEnd w:id="9"/>
    <w:bookmarkStart w:id="10" w:name="X5e9e9b484773eaa354c68ff042dab3e0542dcca"/>
    <w:p>
      <w:pPr>
        <w:pStyle w:val="Heading2"/>
      </w:pPr>
      <w:r>
        <w:t xml:space="preserve">2. Momentum Coming In: A Strong Q1 Beat</w:t>
      </w:r>
    </w:p>
    <w:p>
      <w:pPr>
        <w:pStyle w:val="FirstParagraph"/>
      </w:pPr>
      <w:r>
        <w:t xml:space="preserve">JBHT's Q1 2026 results (reported April 15) set the tone: revenue of $3.06 billion (+5%), operating income of $207.0 million (+16%), and diluted EPS of $1.49 vs. $1.17 (+27%) — achieved despite severe winter weather and a spike in fuel prices, and</w:t>
      </w:r>
      <w:r>
        <w:t xml:space="preserve"> </w:t>
      </w:r>
      <w:r>
        <w:rPr>
          <w:b/>
          <w:bCs/>
        </w:rPr>
        <w:t xml:space="preserve">without meaningful pricing tailwinds</w:t>
      </w:r>
      <w:r>
        <w:t xml:space="preserve">. Segment highlights:</w:t>
      </w:r>
    </w:p>
    <w:p>
      <w:pPr>
        <w:pStyle w:val="Compact"/>
        <w:numPr>
          <w:ilvl w:val="0"/>
          <w:numId w:val="1001"/>
        </w:numPr>
      </w:pPr>
      <w:r>
        <w:rPr>
          <w:b/>
          <w:bCs/>
        </w:rPr>
        <w:t xml:space="preserve">Intermodal (JBI):</w:t>
      </w:r>
      <w:r>
        <w:t xml:space="preserve"> </w:t>
      </w:r>
      <w:r>
        <w:t xml:space="preserve">Revenue +2% to $1.50B, operating income +21% to $114.5M on a record first-quarter volume (loads +3%), with the eastern network up 7% against a tough 13% comp, while transcon was flat.</w:t>
      </w:r>
    </w:p>
    <w:p>
      <w:pPr>
        <w:pStyle w:val="Compact"/>
        <w:numPr>
          <w:ilvl w:val="0"/>
          <w:numId w:val="1001"/>
        </w:numPr>
      </w:pPr>
      <w:r>
        <w:rPr>
          <w:b/>
          <w:bCs/>
        </w:rPr>
        <w:t xml:space="preserve">Dedicated (DCS):</w:t>
      </w:r>
      <w:r>
        <w:t xml:space="preserve"> </w:t>
      </w:r>
      <w:r>
        <w:t xml:space="preserve">Revenue +2% to $841M, operating income +9% to $87.4M; customer retention near 96%; 295 trucks sold in the quarter, tracking toward the 800–1,000 net truck target for the year.</w:t>
      </w:r>
    </w:p>
    <w:p>
      <w:pPr>
        <w:pStyle w:val="Compact"/>
        <w:numPr>
          <w:ilvl w:val="0"/>
          <w:numId w:val="1001"/>
        </w:numPr>
      </w:pPr>
      <w:r>
        <w:rPr>
          <w:b/>
          <w:bCs/>
        </w:rPr>
        <w:t xml:space="preserve">ICS (brokerage):</w:t>
      </w:r>
      <w:r>
        <w:t xml:space="preserve"> </w:t>
      </w:r>
      <w:r>
        <w:t xml:space="preserve">Revenue +20% but an operating</w:t>
      </w:r>
      <w:r>
        <w:t xml:space="preserve"> </w:t>
      </w:r>
      <w:r>
        <w:rPr>
          <w:b/>
          <w:bCs/>
        </w:rPr>
        <w:t xml:space="preserve">loss</w:t>
      </w:r>
      <w:r>
        <w:t xml:space="preserve"> </w:t>
      </w:r>
      <w:r>
        <w:t xml:space="preserve">of</w:t>
      </w:r>
      <w:r>
        <w:t xml:space="preserve"> </w:t>
      </w:r>
      <m:oMath>
        <m:r>
          <m:t>4.7</m:t>
        </m:r>
        <m:r>
          <m:t>M</m:t>
        </m:r>
        <m:r>
          <m:rPr>
            <m:sty m:val="p"/>
          </m:rPr>
          <m:t>(</m:t>
        </m:r>
        <m:r>
          <m:t>v</m:t>
        </m:r>
        <m:r>
          <m:t>s</m:t>
        </m:r>
        <m:r>
          <m:rPr>
            <m:sty m:val="p"/>
          </m:rPr>
          <m:t>.</m:t>
        </m:r>
        <m:r>
          <m:rPr>
            <m:sty m:val="p"/>
          </m:rPr>
          <m:t>−</m:t>
        </m:r>
      </m:oMath>
      <w:r>
        <w:t xml:space="preserve">2.7M prior year) as purchased-transportation costs outran rate gains; gross margin fell to 12.0% from 15.3%.</w:t>
      </w:r>
    </w:p>
    <w:p>
      <w:pPr>
        <w:pStyle w:val="Compact"/>
        <w:numPr>
          <w:ilvl w:val="0"/>
          <w:numId w:val="1001"/>
        </w:numPr>
      </w:pPr>
      <w:r>
        <w:rPr>
          <w:b/>
          <w:bCs/>
        </w:rPr>
        <w:t xml:space="preserve">Truckload (JBT):</w:t>
      </w:r>
      <w:r>
        <w:t xml:space="preserve"> </w:t>
      </w:r>
      <w:r>
        <w:t xml:space="preserve">Revenue +23% on 19% load growth, but gross profit fell 5% on higher purchased-transportation cost even as operating income rose 33% to $2.7M.</w:t>
      </w:r>
    </w:p>
    <w:p>
      <w:pPr>
        <w:pStyle w:val="Compact"/>
        <w:numPr>
          <w:ilvl w:val="0"/>
          <w:numId w:val="1001"/>
        </w:numPr>
      </w:pPr>
      <w:r>
        <w:rPr>
          <w:b/>
          <w:bCs/>
        </w:rPr>
        <w:t xml:space="preserve">Final Mile (FMS):</w:t>
      </w:r>
      <w:r>
        <w:t xml:space="preserve"> </w:t>
      </w:r>
      <w:r>
        <w:t xml:space="preserve">Revenue -6% (lapping disclosed customer losses) but operating income +53% to $7.2M on cost discipline.</w:t>
      </w:r>
    </w:p>
    <w:p>
      <w:pPr>
        <w:pStyle w:val="FirstParagraph"/>
      </w:pPr>
      <w:r>
        <w:t xml:space="preserve">Management's self-funded "lowering our cost to serve" program is running</w:t>
      </w:r>
      <w:r>
        <w:t xml:space="preserve"> </w:t>
      </w:r>
      <w:r>
        <w:rPr>
          <w:b/>
          <w:bCs/>
        </w:rPr>
        <w:t xml:space="preserve">ahead of plan</w:t>
      </w:r>
      <w:r>
        <w:t xml:space="preserve"> </w:t>
      </w:r>
      <w:r>
        <w:t xml:space="preserve">— CFO Brad Delco said the company is now removing costs at a pace of "somewhere close to or just north of $130 million" annualized versus the original $100 million target, which is the primary explanation for margin expansion (+70bps y/y) in a quarter where pricing still didn't cover core inflation.</w:t>
      </w:r>
    </w:p>
    <w:bookmarkEnd w:id="10"/>
    <w:bookmarkStart w:id="11" w:name="X603b4c7d10accb2f005b4a09ef0a9ae2c4e00f6"/>
    <w:p>
      <w:pPr>
        <w:pStyle w:val="Heading2"/>
      </w:pPr>
      <w:r>
        <w:t xml:space="preserve">3. The Macro Backdrop: A Supply-Driven Freight Inflection</w:t>
      </w:r>
    </w:p>
    <w:p>
      <w:pPr>
        <w:pStyle w:val="FirstParagraph"/>
      </w:pPr>
      <w:r>
        <w:t xml:space="preserve">The bigger story heading into Q2 is an industry-wide capacity squeeze. On the Q1 call, CEO Shelley Simpson and sales chief Spencer Frazier described a market that has moved from "fragile" to genuinely tightening, driven largely by regulatory enforcement — stepped-up crackdowns on non-domiciled drivers, English-language-proficiency rules, and "chameleon carrier" authorizations — pulling non-compliant capacity out of the industry faster than demand alone would explain. Independent industry data corroborates this: ACT Research reported that truckload spot rates excluding fuel were on pace to rise more than 40% year-over-year by June 2026, and attributed the acceleration "primarily to tighter supply" rather than a demand surge, noting that "the rebound is being driven less by stronger freight demand and more by a shrinking supply of trucks and drivers". Separately, ACT flagged that "capacity remains the key story," with carriers "regaining leverage" even as demand growth stays modest.</w:t>
      </w:r>
    </w:p>
    <w:p>
      <w:pPr>
        <w:pStyle w:val="BodyText"/>
      </w:pPr>
      <w:r>
        <w:t xml:space="preserve">This matters for JBHT because pricing typically flows through its business lines at different speeds — spot first, then contract Truckload (3–6 months), then Intermodal (6–12 months) — meaning Q2 2026 results are still largely governed by</w:t>
      </w:r>
      <w:r>
        <w:t xml:space="preserve"> </w:t>
      </w:r>
      <w:r>
        <w:rPr>
          <w:b/>
          <w:bCs/>
        </w:rPr>
        <w:t xml:space="preserve">2025's bid season outcomes</w:t>
      </w:r>
      <w:r>
        <w:t xml:space="preserve"> </w:t>
      </w:r>
      <w:r>
        <w:t xml:space="preserve">in Intermodal, while ICS/JBT brokerage and truckload rates should show the earliest and most direct benefit.</w:t>
      </w:r>
    </w:p>
    <w:bookmarkEnd w:id="11"/>
    <w:bookmarkStart w:id="12" w:name="X19ca1fb5c1f85a7efd8abecaefc6a2f7c03766a"/>
    <w:p>
      <w:pPr>
        <w:pStyle w:val="Heading2"/>
      </w:pPr>
      <w:r>
        <w:t xml:space="preserve">4. What to Watch in the Print</w:t>
      </w:r>
    </w:p>
    <w:p>
      <w:pPr>
        <w:numPr>
          <w:ilvl w:val="0"/>
          <w:numId w:val="1002"/>
        </w:numPr>
      </w:pPr>
      <w:r>
        <w:rPr>
          <w:b/>
          <w:bCs/>
        </w:rPr>
        <w:t xml:space="preserve">Incremental margins and cost-to-serve cadence.</w:t>
      </w:r>
      <w:r>
        <w:t xml:space="preserve"> </w:t>
      </w:r>
      <w:r>
        <w:t xml:space="preserve">Can the ~$130M+ run-rate of structural cost removal continue to outpace insurance, medical, and wage inflation, or does the tightening driver market (management flagged "the highest driver need since June 2022") start pressuring wages and offsetting savings?</w:t>
      </w:r>
    </w:p>
    <w:p>
      <w:pPr>
        <w:numPr>
          <w:ilvl w:val="0"/>
          <w:numId w:val="1002"/>
        </w:numPr>
      </w:pPr>
      <w:r>
        <w:rPr>
          <w:b/>
          <w:bCs/>
        </w:rPr>
        <w:t xml:space="preserve">Intermodal pricing and volume trajectory.</w:t>
      </w:r>
      <w:r>
        <w:t xml:space="preserve"> </w:t>
      </w:r>
      <w:r>
        <w:t xml:space="preserve">Watch for confirmation that eastern-network road-to-rail conversion (up 7% in Q1 against a 13% comp) is continuing, along with any updated color on how transcon bid-season pricing — described as "more competitive... than we had expected" in April — is playing out into peak season planning. Fuel-driven mode conversion (higher diesel prices making rail more attractive) is a wildcard tailwind.</w:t>
      </w:r>
    </w:p>
    <w:p>
      <w:pPr>
        <w:numPr>
          <w:ilvl w:val="0"/>
          <w:numId w:val="1002"/>
        </w:numPr>
      </w:pPr>
      <w:r>
        <w:rPr>
          <w:b/>
          <w:bCs/>
        </w:rPr>
        <w:t xml:space="preserve">ICS/JBT profitability inflection.</w:t>
      </w:r>
      <w:r>
        <w:t xml:space="preserve"> </w:t>
      </w:r>
      <w:r>
        <w:t xml:space="preserve">These are the fastest-repricing segments in a tightening cycle. Q1 showed rising revenue per load (ICS +9%, JBT +3%) but</w:t>
      </w:r>
      <w:r>
        <w:t xml:space="preserve"> </w:t>
      </w:r>
      <w:r>
        <w:rPr>
          <w:i/>
          <w:iCs/>
        </w:rPr>
        <w:t xml:space="preserve">declining</w:t>
      </w:r>
      <w:r>
        <w:t xml:space="preserve"> </w:t>
      </w:r>
      <w:r>
        <w:t xml:space="preserve">gross profit because purchased-transportation costs rose even faster. The key question: has that gap started to close as contract rates catch up to what management called "double-digit" brokerage rate increases?</w:t>
      </w:r>
    </w:p>
    <w:p>
      <w:pPr>
        <w:numPr>
          <w:ilvl w:val="0"/>
          <w:numId w:val="1002"/>
        </w:numPr>
      </w:pPr>
      <w:r>
        <w:rPr>
          <w:b/>
          <w:bCs/>
        </w:rPr>
        <w:t xml:space="preserve">Dedicated fleet growth acceleration.</w:t>
      </w:r>
      <w:r>
        <w:t xml:space="preserve"> </w:t>
      </w:r>
      <w:r>
        <w:t xml:space="preserve">Management guided to "modest" operating income growth for 2026 but flagged a strengthening pipeline (second-highest month of new deals priced in five years during Q1) and said a wave of new truck starts was pushed later than expected. Watch net truck adds and any updated framing on the 800–1,000 unit target and associated start-up cost drag.</w:t>
      </w:r>
    </w:p>
    <w:p>
      <w:pPr>
        <w:numPr>
          <w:ilvl w:val="0"/>
          <w:numId w:val="1002"/>
        </w:numPr>
      </w:pPr>
      <w:r>
        <w:rPr>
          <w:b/>
          <w:bCs/>
        </w:rPr>
        <w:t xml:space="preserve">Final Mile stabilization.</w:t>
      </w:r>
      <w:r>
        <w:t xml:space="preserve"> </w:t>
      </w:r>
      <w:r>
        <w:t xml:space="preserve">The segment is lapping a previously disclosed ~$90 million revenue headwind; any update on new wins offsetting that loss will matter for the smallest but most-improved-margin segment.</w:t>
      </w:r>
    </w:p>
    <w:p>
      <w:pPr>
        <w:numPr>
          <w:ilvl w:val="0"/>
          <w:numId w:val="1002"/>
        </w:numPr>
      </w:pPr>
      <w:r>
        <w:rPr>
          <w:b/>
          <w:bCs/>
        </w:rPr>
        <w:t xml:space="preserve">Capital allocation.</w:t>
      </w:r>
      <w:r>
        <w:t xml:space="preserve"> </w:t>
      </w:r>
      <w:r>
        <w:t xml:space="preserve">JBHT retired $700M of maturing notes in Q1, ended the quarter at 0.8x leverage (below its 1x target), repurchased</w:t>
      </w:r>
      <w:r>
        <w:t xml:space="preserve"> </w:t>
      </w:r>
      <m:oMath>
        <m:r>
          <m:t>80</m:t>
        </m:r>
        <m:r>
          <m:t>M</m:t>
        </m:r>
        <m:r>
          <m:t>o</m:t>
        </m:r>
        <m:r>
          <m:t>f</m:t>
        </m:r>
        <m:r>
          <m:t>s</m:t>
        </m:r>
        <m:r>
          <m:t>t</m:t>
        </m:r>
        <m:r>
          <m:t>o</m:t>
        </m:r>
        <m:r>
          <m:t>c</m:t>
        </m:r>
        <m:r>
          <m:t>k</m:t>
        </m:r>
        <m:r>
          <m:rPr>
            <m:sty m:val="p"/>
          </m:rPr>
          <m:t>,</m:t>
        </m:r>
        <m:r>
          <m:t>a</m:t>
        </m:r>
        <m:r>
          <m:t>n</m:t>
        </m:r>
        <m:r>
          <m:t>d</m:t>
        </m:r>
        <m:r>
          <m:t>r</m:t>
        </m:r>
        <m:r>
          <m:t>a</m:t>
        </m:r>
        <m:r>
          <m:t>i</m:t>
        </m:r>
        <m:r>
          <m:t>s</m:t>
        </m:r>
        <m:r>
          <m:t>e</m:t>
        </m:r>
        <m:r>
          <m:t>d</m:t>
        </m:r>
        <m:r>
          <m:t>i</m:t>
        </m:r>
        <m:r>
          <m:t>t</m:t>
        </m:r>
        <m:r>
          <m:t>s</m:t>
        </m:r>
        <m:r>
          <m:t>d</m:t>
        </m:r>
        <m:r>
          <m:t>i</m:t>
        </m:r>
        <m:r>
          <m:t>v</m:t>
        </m:r>
        <m:r>
          <m:t>i</m:t>
        </m:r>
        <m:r>
          <m:t>d</m:t>
        </m:r>
        <m:r>
          <m:t>e</m:t>
        </m:r>
        <m:r>
          <m:t>n</m:t>
        </m:r>
        <m:r>
          <m:t>d</m:t>
        </m:r>
        <m:r>
          <m:t>f</m:t>
        </m:r>
        <m:r>
          <m:t>o</m:t>
        </m:r>
        <m:r>
          <m:t>r</m:t>
        </m:r>
        <m:r>
          <m:t>a</m:t>
        </m:r>
        <m:r>
          <m:t>22</m:t>
        </m:r>
        <m:r>
          <m:t>n</m:t>
        </m:r>
        <m:r>
          <m:t>d</m:t>
        </m:r>
        <m:r>
          <m:t>c</m:t>
        </m:r>
        <m:r>
          <m:t>o</m:t>
        </m:r>
        <m:r>
          <m:t>n</m:t>
        </m:r>
        <m:r>
          <m:t>s</m:t>
        </m:r>
        <m:r>
          <m:t>e</m:t>
        </m:r>
        <m:r>
          <m:t>c</m:t>
        </m:r>
        <m:r>
          <m:t>u</m:t>
        </m:r>
        <m:r>
          <m:t>t</m:t>
        </m:r>
        <m:r>
          <m:t>i</m:t>
        </m:r>
        <m:r>
          <m:t>v</m:t>
        </m:r>
        <m:r>
          <m:t>e</m:t>
        </m:r>
        <m:r>
          <m:t>y</m:t>
        </m:r>
        <m:r>
          <m:t>e</m:t>
        </m:r>
        <m:r>
          <m:t>a</m:t>
        </m:r>
        <m:r>
          <m:t>r</m:t>
        </m:r>
        <m:r>
          <m:rPr>
            <m:sty m:val="p"/>
          </m:rPr>
          <m:t>.</m:t>
        </m:r>
        <m:r>
          <m:t>W</m:t>
        </m:r>
        <m:r>
          <m:t>i</m:t>
        </m:r>
        <m:r>
          <m:t>t</m:t>
        </m:r>
        <m:r>
          <m:t>h</m:t>
        </m:r>
        <m:r>
          <m:t> </m:t>
        </m:r>
      </m:oMath>
      <w:r>
        <w:t xml:space="preserve">888M left on its buyback authorization and the stock up sharply, watch repurchase pace as a signal of management's own view on valuation, alongside the reiterated $600–800M net capex plan for 2026.</w:t>
      </w:r>
    </w:p>
    <w:p>
      <w:pPr>
        <w:numPr>
          <w:ilvl w:val="0"/>
          <w:numId w:val="1002"/>
        </w:numPr>
      </w:pPr>
      <w:r>
        <w:rPr>
          <w:b/>
          <w:bCs/>
        </w:rPr>
        <w:t xml:space="preserve">Forward tone on margin repair.</w:t>
      </w:r>
      <w:r>
        <w:t xml:space="preserve"> </w:t>
      </w:r>
      <w:r>
        <w:t xml:space="preserve">CEO Simpson has repeatedly declined to raise long-term margin targets (Intermodal's historical 10–12% range, Dedicated's 12–14%) despite three straight quarters of margin expansion, preferring a "healthier" multi-year recovery over a sharp snap-back. Any shift in that language — more explicit confidence on timing — would be a notable incremental positive (or a walk-back would be a red flag given how much good news is already priced in).</w:t>
      </w:r>
    </w:p>
    <w:bookmarkEnd w:id="12"/>
    <w:bookmarkStart w:id="13" w:name="X57628814808a35a4369fd5359a6196ebc53c3e9"/>
    <w:p>
      <w:pPr>
        <w:pStyle w:val="Heading2"/>
      </w:pPr>
      <w:r>
        <w:t xml:space="preserve">5. Bottom Line</w:t>
      </w:r>
    </w:p>
    <w:p>
      <w:pPr>
        <w:pStyle w:val="FirstParagraph"/>
      </w:pPr>
      <w:r>
        <w:t xml:space="preserve">JBHT goes into Q2 2026 with genuine fundamental momentum: a structurally tightening truckload market, a cost program running ahead of its own targets, record Intermodal volumes, and resilient Dedicated retention — all while pricing still hasn't fully caught up to inflation, leaving room for further margin recovery as bid cycles reset through 2026–2027. The complication is that the market has already priced in a great deal of that recovery, pushing the stock to a 40%+ forward P/E and prompting a rare valuation-driven downgrade even from an analyst who just raised his price target. With consensus looking for ~30% EPS growth and continued acceleration into 2027, the bar for a "beat and raise" that actually moves the stock further is high; the more important signal for investors may be less the Q2 numbers themselves and more the specificity of management's commentary on how fast pricing gains in ICS, JBT, and Intermodal materialize from here.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2026-07-15T00:42:01Z</dcterms:created>
  <dcterms:modified xsi:type="dcterms:W3CDTF">2026-07-15T00:42:01Z</dcterms:modified>
</cp:coreProperties>
</file>

<file path=docProps/custom.xml><?xml version="1.0" encoding="utf-8"?>
<Properties xmlns="http://schemas.openxmlformats.org/officeDocument/2006/custom-properties" xmlns:vt="http://schemas.openxmlformats.org/officeDocument/2006/docPropsVTypes"/>
</file>