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935d2e022eaa04032040e6aa7c1a1063a11b74"/>
    <w:p>
      <w:pPr>
        <w:pStyle w:val="Heading1"/>
      </w:pPr>
      <w:r>
        <w:t xml:space="preserve">J.B. Hunt Transport Services (JBHT) — Q2 2026 Earnings Preview</w:t>
      </w:r>
    </w:p>
    <w:p>
      <w:pPr>
        <w:pStyle w:val="FirstParagraph"/>
      </w:pPr>
      <w:r>
        <w:rPr>
          <w:b/>
          <w:bCs/>
        </w:rPr>
        <w:t xml:space="preserve">Reporting:</w:t>
      </w:r>
      <w:r>
        <w:t xml:space="preserve"> </w:t>
      </w:r>
      <w:r>
        <w:t xml:space="preserve">Wednesday,</w:t>
      </w:r>
      <w:r>
        <w:t xml:space="preserve"> </w:t>
      </w:r>
      <w:r>
        <w:rPr>
          <w:b/>
          <w:bCs/>
        </w:rPr>
        <w:t xml:space="preserve">July 15, 2026</w:t>
      </w:r>
      <w:r>
        <w:t xml:space="preserve">, after the market closes</w:t>
      </w:r>
      <w:r>
        <w:br/>
      </w:r>
      <w:r>
        <w:rPr>
          <w:b/>
          <w:bCs/>
        </w:rPr>
        <w:t xml:space="preserve">Conference call:</w:t>
      </w:r>
      <w:r>
        <w:t xml:space="preserve"> </w:t>
      </w:r>
      <w:r>
        <w:t xml:space="preserve">5:00 p.m. ET (</w:t>
      </w:r>
      <w:hyperlink r:id="rId9">
        <w:r>
          <w:rPr>
            <w:rStyle w:val="Hyperlink"/>
          </w:rPr>
          <w:t xml:space="preserve">investor.jbhunt.com</w:t>
        </w:r>
      </w:hyperlink>
      <w:r>
        <w:t xml:space="preserve">)</w:t>
      </w:r>
    </w:p>
    <w:bookmarkStart w:id="11" w:name="investment-setup"/>
    <w:p>
      <w:pPr>
        <w:pStyle w:val="Heading2"/>
      </w:pPr>
      <w:r>
        <w:t xml:space="preserve">Investment setup</w:t>
      </w:r>
    </w:p>
    <w:p>
      <w:pPr>
        <w:pStyle w:val="FirstParagraph"/>
      </w:pPr>
      <w:r>
        <w:t xml:space="preserve">J.B. Hunt enters the quarter with considerably more momentum—and a much higher valuation—than it had at the beginning of 2026. The shares recently traded around</w:t>
      </w:r>
      <w:r>
        <w:t xml:space="preserve"> </w:t>
      </w:r>
      <w:r>
        <w:rPr>
          <w:b/>
          <w:bCs/>
        </w:rPr>
        <w:t xml:space="preserve">$281</w:t>
      </w:r>
      <w:r>
        <w:t xml:space="preserve">, equivalent to roughly</w:t>
      </w:r>
      <w:r>
        <w:t xml:space="preserve"> </w:t>
      </w:r>
      <w:r>
        <w:rPr>
          <w:b/>
          <w:bCs/>
        </w:rPr>
        <w:t xml:space="preserve">44x trailing earnings</w:t>
      </w:r>
      <w:r>
        <w:t xml:space="preserve">. Consequently, investors are likely to demand more than a modest headline beat: the report needs to validate the thesis that tighter truckload capacity is producing durable pricing power and accelerating margin recovery.</w:t>
      </w:r>
    </w:p>
    <w:p>
      <w:pPr>
        <w:pStyle w:val="BodyText"/>
      </w:pPr>
      <w:r>
        <w:t xml:space="preserve">Published estimates vary slightly, but a reasonable consensus baseline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Q2 2026 consensus</w:t>
            </w:r>
          </w:p>
        </w:tc>
        <w:tc>
          <w:tcPr/>
          <w:p>
            <w:pPr>
              <w:pStyle w:val="Compact"/>
              <w:jc w:val="right"/>
            </w:pPr>
            <w:r>
              <w:t xml:space="preserve">Estimate</w:t>
            </w:r>
          </w:p>
        </w:tc>
        <w:tc>
          <w:tcPr/>
          <w:p>
            <w:pPr>
              <w:pStyle w:val="Compact"/>
              <w:jc w:val="right"/>
            </w:pPr>
            <w:r>
              <w:t xml:space="preserve">Year-over-year</w:t>
            </w:r>
          </w:p>
        </w:tc>
      </w:tr>
      <w:tr>
        <w:tc>
          <w:tcPr/>
          <w:p>
            <w:pPr>
              <w:pStyle w:val="Compact"/>
            </w:pPr>
            <w:r>
              <w:t xml:space="preserve">Revenue</w:t>
            </w:r>
          </w:p>
        </w:tc>
        <w:tc>
          <w:tcPr/>
          <w:p>
            <w:pPr>
              <w:pStyle w:val="Compact"/>
              <w:jc w:val="right"/>
            </w:pPr>
            <w:r>
              <w:rPr>
                <w:b/>
                <w:bCs/>
              </w:rPr>
              <w:t xml:space="preserve">~$3.17 billion</w:t>
            </w:r>
          </w:p>
        </w:tc>
        <w:tc>
          <w:tcPr/>
          <w:p>
            <w:pPr>
              <w:pStyle w:val="Compact"/>
              <w:jc w:val="right"/>
            </w:pPr>
            <w:r>
              <w:rPr>
                <w:b/>
                <w:bCs/>
              </w:rPr>
              <w:t xml:space="preserve">+8%</w:t>
            </w:r>
          </w:p>
        </w:tc>
      </w:tr>
      <w:tr>
        <w:tc>
          <w:tcPr/>
          <w:p>
            <w:pPr>
              <w:pStyle w:val="Compact"/>
            </w:pPr>
            <w:r>
              <w:t xml:space="preserve">Diluted EPS</w:t>
            </w:r>
          </w:p>
        </w:tc>
        <w:tc>
          <w:tcPr/>
          <w:p>
            <w:pPr>
              <w:pStyle w:val="Compact"/>
              <w:jc w:val="right"/>
            </w:pPr>
            <w:r>
              <w:rPr>
                <w:b/>
                <w:bCs/>
              </w:rPr>
              <w:t xml:space="preserve">~$1.71</w:t>
            </w:r>
          </w:p>
        </w:tc>
        <w:tc>
          <w:tcPr/>
          <w:p>
            <w:pPr>
              <w:pStyle w:val="Compact"/>
              <w:jc w:val="right"/>
            </w:pPr>
            <w:r>
              <w:rPr>
                <w:b/>
                <w:bCs/>
              </w:rPr>
              <w:t xml:space="preserve">+31%</w:t>
            </w:r>
          </w:p>
        </w:tc>
      </w:tr>
    </w:tbl>
    <w:p>
      <w:pPr>
        <w:pStyle w:val="BodyText"/>
      </w:pPr>
      <w:r>
        <w:t xml:space="preserve">The EPS estimate has moved modestly higher during the past month, suggesting expectations have already begun incorporating improving freight conditions. (</w:t>
      </w:r>
      <w:hyperlink r:id="rId10">
        <w:r>
          <w:rPr>
            <w:rStyle w:val="Hyperlink"/>
          </w:rPr>
          <w:t xml:space="preserve">zacks.com</w:t>
        </w:r>
      </w:hyperlink>
      <w:r>
        <w:t xml:space="preserve">)</w:t>
      </w:r>
    </w:p>
    <w:bookmarkEnd w:id="11"/>
    <w:bookmarkStart w:id="14" w:name="Xab0ed4138cdad29bebb82b32e0bbc3f5ee6a810"/>
    <w:p>
      <w:pPr>
        <w:pStyle w:val="Heading2"/>
      </w:pPr>
      <w:r>
        <w:t xml:space="preserve">The central question: Who captures the rate increase?</w:t>
      </w:r>
    </w:p>
    <w:p>
      <w:pPr>
        <w:pStyle w:val="FirstParagraph"/>
      </w:pPr>
      <w:r>
        <w:t xml:space="preserve">Truckload capacity tightened sharply during the first half, and J.B. Hunt reported in June that customer routing guides were breaking down, mini-bids were proliferating and some customers were effectively rebidding entire networks. That is constructive for selling rates and freight availability. (</w:t>
      </w:r>
      <w:hyperlink r:id="rId12">
        <w:r>
          <w:rPr>
            <w:rStyle w:val="Hyperlink"/>
          </w:rPr>
          <w:t xml:space="preserve">freightwaves.com</w:t>
        </w:r>
      </w:hyperlink>
      <w:r>
        <w:t xml:space="preserve">)</w:t>
      </w:r>
    </w:p>
    <w:p>
      <w:pPr>
        <w:pStyle w:val="BodyText"/>
      </w:pPr>
      <w:r>
        <w:t xml:space="preserve">However, a tightening market has two effects:</w:t>
      </w:r>
    </w:p>
    <w:p>
      <w:pPr>
        <w:pStyle w:val="Compact"/>
        <w:numPr>
          <w:ilvl w:val="0"/>
          <w:numId w:val="1001"/>
        </w:numPr>
      </w:pPr>
      <w:r>
        <w:rPr>
          <w:b/>
          <w:bCs/>
        </w:rPr>
        <w:t xml:space="preserve">Customer rates rise</w:t>
      </w:r>
      <w:r>
        <w:t xml:space="preserve">, helping revenue.</w:t>
      </w:r>
    </w:p>
    <w:p>
      <w:pPr>
        <w:pStyle w:val="Compact"/>
        <w:numPr>
          <w:ilvl w:val="0"/>
          <w:numId w:val="1001"/>
        </w:numPr>
      </w:pPr>
      <w:r>
        <w:rPr>
          <w:b/>
          <w:bCs/>
        </w:rPr>
        <w:t xml:space="preserve">Purchased transportation costs also rise</w:t>
      </w:r>
      <w:r>
        <w:t xml:space="preserve">, pressuring brokerage and outsourced truckload margins.</w:t>
      </w:r>
    </w:p>
    <w:p>
      <w:pPr>
        <w:pStyle w:val="FirstParagraph"/>
      </w:pPr>
      <w:r>
        <w:t xml:space="preserve">This was already visible in Q1. ICS revenue increased 20%, volumes rose 10% and revenue per load increased 9%, yet its operating loss widened to $4.7 million because purchased transportation costs rose faster. JBT produced 23% revenue growth but suffered a 5% decline in gross profit for the same reason. (</w:t>
      </w:r>
      <w:hyperlink r:id="rId13">
        <w:r>
          <w:rPr>
            <w:rStyle w:val="Hyperlink"/>
          </w:rPr>
          <w:t xml:space="preserve">jbhunt.com</w:t>
        </w:r>
      </w:hyperlink>
      <w:r>
        <w:t xml:space="preserve">)</w:t>
      </w:r>
    </w:p>
    <w:p>
      <w:pPr>
        <w:pStyle w:val="BodyText"/>
      </w:pPr>
      <w:r>
        <w:t xml:space="preserve">Therefore, the most important Q2 datapoint may not be revenue growth. It will be whether</w:t>
      </w:r>
      <w:r>
        <w:t xml:space="preserve"> </w:t>
      </w:r>
      <w:r>
        <w:rPr>
          <w:b/>
          <w:bCs/>
        </w:rPr>
        <w:t xml:space="preserve">ICS gross margin stabilized from Q1’s 12.0%</w:t>
      </w:r>
      <w:r>
        <w:t xml:space="preserve"> </w:t>
      </w:r>
      <w:r>
        <w:t xml:space="preserve">and whether JBT converted its strong volume growth into better gross-profit dollars.</w:t>
      </w:r>
    </w:p>
    <w:bookmarkEnd w:id="14"/>
    <w:bookmarkStart w:id="22" w:name="segment-scorecard"/>
    <w:p>
      <w:pPr>
        <w:pStyle w:val="Heading2"/>
      </w:pPr>
      <w:r>
        <w:t xml:space="preserve">Segment scorecard</w:t>
      </w:r>
    </w:p>
    <w:bookmarkStart w:id="16" w:name="X76928fb47122bc6463a14876c1d27b3dc672e6a"/>
    <w:p>
      <w:pPr>
        <w:pStyle w:val="Heading3"/>
      </w:pPr>
      <w:r>
        <w:t xml:space="preserve">1. Intermodal: The primary earnings engine</w:t>
      </w:r>
    </w:p>
    <w:p>
      <w:pPr>
        <w:pStyle w:val="FirstParagraph"/>
      </w:pPr>
      <w:r>
        <w:t xml:space="preserve">Intermodal contributed approximately half of Q1 revenue and 55% of operating income. Q1 volume grew 3%, including 7% growth in the eastern network, while operating income rose 21% to $114.5 million. The resulting segment operating margin was approximately</w:t>
      </w:r>
      <w:r>
        <w:t xml:space="preserve"> </w:t>
      </w:r>
      <w:r>
        <w:rPr>
          <w:b/>
          <w:bCs/>
        </w:rPr>
        <w:t xml:space="preserve">7.6%</w:t>
      </w:r>
      <w:r>
        <w:t xml:space="preserve">, up materially from the</w:t>
      </w:r>
      <w:r>
        <w:t xml:space="preserve"> </w:t>
      </w:r>
      <w:r>
        <w:rPr>
          <w:b/>
          <w:bCs/>
        </w:rPr>
        <w:t xml:space="preserve">6.7%</w:t>
      </w:r>
      <w:r>
        <w:t xml:space="preserve"> </w:t>
      </w:r>
      <w:r>
        <w:t xml:space="preserve">recorded in Q2 2025. (</w:t>
      </w:r>
      <w:hyperlink r:id="rId15">
        <w:r>
          <w:rPr>
            <w:rStyle w:val="Hyperlink"/>
          </w:rPr>
          <w:t xml:space="preserve">jbhunt.com</w:t>
        </w:r>
      </w:hyperlink>
      <w:r>
        <w:t xml:space="preserve">)</w:t>
      </w:r>
    </w:p>
    <w:p>
      <w:pPr>
        <w:pStyle w:val="BodyText"/>
      </w:pPr>
      <w:r>
        <w:t xml:space="preserve">Wall Street’s Q2 expectations imply:</w:t>
      </w:r>
    </w:p>
    <w:p>
      <w:pPr>
        <w:pStyle w:val="Compact"/>
        <w:numPr>
          <w:ilvl w:val="0"/>
          <w:numId w:val="1002"/>
        </w:numPr>
      </w:pPr>
      <w:r>
        <w:t xml:space="preserve">Revenue of approximately</w:t>
      </w:r>
      <w:r>
        <w:t xml:space="preserve"> </w:t>
      </w:r>
      <w:r>
        <w:rPr>
          <w:b/>
          <w:bCs/>
        </w:rPr>
        <w:t xml:space="preserve">$1.49 billion</w:t>
      </w:r>
      <w:r>
        <w:t xml:space="preserve">, up about 4%.</w:t>
      </w:r>
    </w:p>
    <w:p>
      <w:pPr>
        <w:pStyle w:val="Compact"/>
        <w:numPr>
          <w:ilvl w:val="0"/>
          <w:numId w:val="1002"/>
        </w:numPr>
      </w:pPr>
      <w:r>
        <w:t xml:space="preserve">Loads of approximately</w:t>
      </w:r>
      <w:r>
        <w:t xml:space="preserve"> </w:t>
      </w:r>
      <w:r>
        <w:rPr>
          <w:b/>
          <w:bCs/>
        </w:rPr>
        <w:t xml:space="preserve">537,000</w:t>
      </w:r>
      <w:r>
        <w:t xml:space="preserve">, up about 2%.</w:t>
      </w:r>
    </w:p>
    <w:p>
      <w:pPr>
        <w:pStyle w:val="Compact"/>
        <w:numPr>
          <w:ilvl w:val="0"/>
          <w:numId w:val="1002"/>
        </w:numPr>
      </w:pPr>
      <w:r>
        <w:t xml:space="preserve">Revenue per load of approximately</w:t>
      </w:r>
      <w:r>
        <w:t xml:space="preserve"> </w:t>
      </w:r>
      <w:r>
        <w:rPr>
          <w:b/>
          <w:bCs/>
        </w:rPr>
        <w:t xml:space="preserve">$2,775</w:t>
      </w:r>
      <w:r>
        <w:t xml:space="preserve">, up about 1%. (</w:t>
      </w:r>
      <w:hyperlink r:id="rId10">
        <w:r>
          <w:rPr>
            <w:rStyle w:val="Hyperlink"/>
          </w:rPr>
          <w:t xml:space="preserve">zacks.com</w:t>
        </w:r>
      </w:hyperlink>
      <w:r>
        <w:t xml:space="preserve">)</w:t>
      </w:r>
    </w:p>
    <w:p>
      <w:pPr>
        <w:pStyle w:val="FirstParagraph"/>
      </w:pPr>
      <w:r>
        <w:t xml:space="preserve">The volume estimate looks achievable given the company’s record Q1 activity, continued highway-to-rail conversions and strong eastern-network execution. The more important issue is</w:t>
      </w:r>
      <w:r>
        <w:t xml:space="preserve"> </w:t>
      </w:r>
      <w:r>
        <w:rPr>
          <w:b/>
          <w:bCs/>
        </w:rPr>
        <w:t xml:space="preserve">yield</w:t>
      </w:r>
      <w:r>
        <w:t xml:space="preserve">. Management has said the eastern network is repricing more constructively because it competes directly with truckload, while transcontinental pricing has remained more competitive.</w:t>
      </w:r>
    </w:p>
    <w:p>
      <w:pPr>
        <w:pStyle w:val="BodyText"/>
      </w:pPr>
      <w:r>
        <w:rPr>
          <w:b/>
          <w:bCs/>
        </w:rPr>
        <w:t xml:space="preserve">What would be bullish:</w:t>
      </w:r>
      <w:r>
        <w:t xml:space="preserve"> </w:t>
      </w:r>
      <w:r>
        <w:t xml:space="preserve">Intermodal revenue per load turns clearly positive excluding fuel, eastern growth remains strong and segment margin advances toward 8%.</w:t>
      </w:r>
    </w:p>
    <w:p>
      <w:pPr>
        <w:pStyle w:val="BodyText"/>
      </w:pPr>
      <w:r>
        <w:rPr>
          <w:b/>
          <w:bCs/>
        </w:rPr>
        <w:t xml:space="preserve">What would disappoint:</w:t>
      </w:r>
      <w:r>
        <w:t xml:space="preserve"> </w:t>
      </w:r>
      <w:r>
        <w:t xml:space="preserve">Good volume but little pricing improvement, suggesting excess intermodal capacity continues to limit operating leverage.</w:t>
      </w:r>
    </w:p>
    <w:bookmarkEnd w:id="16"/>
    <w:bookmarkStart w:id="17" w:name="Xf6e31fea16fb85869ea2b30c384ea6e7cbeaf1f"/>
    <w:p>
      <w:pPr>
        <w:pStyle w:val="Heading3"/>
      </w:pPr>
      <w:r>
        <w:t xml:space="preserve">2. Dedicated: Stable earnings with a growth pipeline</w:t>
      </w:r>
    </w:p>
    <w:p>
      <w:pPr>
        <w:pStyle w:val="FirstParagraph"/>
      </w:pPr>
      <w:r>
        <w:t xml:space="preserve">Dedicated consensus revenue is approximately</w:t>
      </w:r>
      <w:r>
        <w:t xml:space="preserve"> </w:t>
      </w:r>
      <w:r>
        <w:rPr>
          <w:b/>
          <w:bCs/>
        </w:rPr>
        <w:t xml:space="preserve">$888 million</w:t>
      </w:r>
      <w:r>
        <w:t xml:space="preserve">, up about 5% year over year. Analysts expect average trucks to remain roughly flat at 12,689, meaning revenue growth is expected to come primarily from productivity and indexed pricing rather than fleet expansion. (</w:t>
      </w:r>
      <w:hyperlink r:id="rId10">
        <w:r>
          <w:rPr>
            <w:rStyle w:val="Hyperlink"/>
          </w:rPr>
          <w:t xml:space="preserve">zacks.com</w:t>
        </w:r>
      </w:hyperlink>
      <w:r>
        <w:t xml:space="preserve">)</w:t>
      </w:r>
    </w:p>
    <w:p>
      <w:pPr>
        <w:pStyle w:val="BodyText"/>
      </w:pPr>
      <w:r>
        <w:t xml:space="preserve">Management previously targeted</w:t>
      </w:r>
      <w:r>
        <w:t xml:space="preserve"> </w:t>
      </w:r>
      <w:r>
        <w:rPr>
          <w:b/>
          <w:bCs/>
        </w:rPr>
        <w:t xml:space="preserve">800–1,000 net truck sales during 2026</w:t>
      </w:r>
      <w:r>
        <w:t xml:space="preserve"> </w:t>
      </w:r>
      <w:r>
        <w:t xml:space="preserve">and completed approximately 295 in Q1. The pipeline has strengthened as driver availability and private-fleet operating complexity push customers toward outsourced dedicated solutions.</w:t>
      </w:r>
    </w:p>
    <w:p>
      <w:pPr>
        <w:pStyle w:val="BodyText"/>
      </w:pPr>
      <w:r>
        <w:t xml:space="preserve">The trade-off is timing: new fleet wins require start-up spending before contributing fully to profit. Investors should distinguish between:</w:t>
      </w:r>
    </w:p>
    <w:p>
      <w:pPr>
        <w:pStyle w:val="Compact"/>
        <w:numPr>
          <w:ilvl w:val="0"/>
          <w:numId w:val="1003"/>
        </w:numPr>
      </w:pPr>
      <w:r>
        <w:rPr>
          <w:b/>
          <w:bCs/>
        </w:rPr>
        <w:t xml:space="preserve">Weak margins caused by execution problems</w:t>
      </w:r>
      <w:r>
        <w:t xml:space="preserve">, which would be negative; and</w:t>
      </w:r>
    </w:p>
    <w:p>
      <w:pPr>
        <w:pStyle w:val="Compact"/>
        <w:numPr>
          <w:ilvl w:val="0"/>
          <w:numId w:val="1003"/>
        </w:numPr>
      </w:pPr>
      <w:r>
        <w:rPr>
          <w:b/>
          <w:bCs/>
        </w:rPr>
        <w:t xml:space="preserve">Temporary start-up expenses tied to signed growth</w:t>
      </w:r>
      <w:r>
        <w:t xml:space="preserve">, which could support 2027 earnings.</w:t>
      </w:r>
    </w:p>
    <w:p>
      <w:pPr>
        <w:pStyle w:val="FirstParagraph"/>
      </w:pPr>
      <w:r>
        <w:t xml:space="preserve">The key disclosures will be net truck additions, the sales pipeline and whether management still expects only modest Dedicated operating-income growth in 2026.</w:t>
      </w:r>
    </w:p>
    <w:bookmarkEnd w:id="17"/>
    <w:bookmarkStart w:id="19" w:name="Xa44d7d37e6adbb6edb33d3eb02ba50786609e9c"/>
    <w:p>
      <w:pPr>
        <w:pStyle w:val="Heading3"/>
      </w:pPr>
      <w:r>
        <w:t xml:space="preserve">3. ICS: Revenue growth is not enough</w:t>
      </w:r>
    </w:p>
    <w:p>
      <w:pPr>
        <w:pStyle w:val="FirstParagraph"/>
      </w:pPr>
      <w:r>
        <w:t xml:space="preserve">Consensus calls for ICS revenue of roughly</w:t>
      </w:r>
      <w:r>
        <w:t xml:space="preserve"> </w:t>
      </w:r>
      <w:r>
        <w:rPr>
          <w:b/>
          <w:bCs/>
        </w:rPr>
        <w:t xml:space="preserve">$302 million</w:t>
      </w:r>
      <w:r>
        <w:t xml:space="preserve">, up 16%, with loads of approximately 142,000 and revenue per load near $2,160. (</w:t>
      </w:r>
      <w:hyperlink r:id="rId10">
        <w:r>
          <w:rPr>
            <w:rStyle w:val="Hyperlink"/>
          </w:rPr>
          <w:t xml:space="preserve">zacks.com</w:t>
        </w:r>
      </w:hyperlink>
      <w:r>
        <w:t xml:space="preserve">)</w:t>
      </w:r>
    </w:p>
    <w:p>
      <w:pPr>
        <w:pStyle w:val="BodyText"/>
      </w:pPr>
      <w:r>
        <w:t xml:space="preserve">Those figures imply continued share gains and higher customer rates. But after Q1’s gross-margin compression from 15.3% to 12.0%, investors need evidence that customer repricing is catching up with carrier costs. (</w:t>
      </w:r>
      <w:hyperlink r:id="rId18">
        <w:r>
          <w:rPr>
            <w:rStyle w:val="Hyperlink"/>
          </w:rPr>
          <w:t xml:space="preserve">sec.gov</w:t>
        </w:r>
      </w:hyperlink>
      <w:r>
        <w:t xml:space="preserve">)</w:t>
      </w:r>
    </w:p>
    <w:p>
      <w:pPr>
        <w:pStyle w:val="BodyText"/>
      </w:pPr>
      <w:r>
        <w:t xml:space="preserve">A sequential improvement in gross margin or a narrower operating loss would be one of the report’s strongest positive signals. Conversely, another quarter of rapid revenue growth accompanied by lower gross profit would suggest J.B. Hunt is servicing customers through the tightening cycle without yet retaining much of the economics.</w:t>
      </w:r>
    </w:p>
    <w:bookmarkEnd w:id="19"/>
    <w:bookmarkStart w:id="20" w:name="X43673f4d142f522a72058dcc96303502b354462"/>
    <w:p>
      <w:pPr>
        <w:pStyle w:val="Heading3"/>
      </w:pPr>
      <w:r>
        <w:t xml:space="preserve">4. Truckload: Strong demand, thin profitability</w:t>
      </w:r>
    </w:p>
    <w:p>
      <w:pPr>
        <w:pStyle w:val="FirstParagraph"/>
      </w:pPr>
      <w:r>
        <w:t xml:space="preserve">Truckload revenue is expected to reach approximately</w:t>
      </w:r>
      <w:r>
        <w:t xml:space="preserve"> </w:t>
      </w:r>
      <w:r>
        <w:rPr>
          <w:b/>
          <w:bCs/>
        </w:rPr>
        <w:t xml:space="preserve">$204 million</w:t>
      </w:r>
      <w:r>
        <w:t xml:space="preserve">, up 15%. This follows four consecutive quarters of double-digit volume growth through Q1, but segment profitability remains small relative to revenue. (</w:t>
      </w:r>
      <w:hyperlink r:id="rId10">
        <w:r>
          <w:rPr>
            <w:rStyle w:val="Hyperlink"/>
          </w:rPr>
          <w:t xml:space="preserve">zacks.com</w:t>
        </w:r>
      </w:hyperlink>
      <w:r>
        <w:t xml:space="preserve">)</w:t>
      </w:r>
    </w:p>
    <w:p>
      <w:pPr>
        <w:pStyle w:val="BodyText"/>
      </w:pPr>
      <w:r>
        <w:t xml:space="preserve">The relevant indicators are:</w:t>
      </w:r>
    </w:p>
    <w:p>
      <w:pPr>
        <w:pStyle w:val="Compact"/>
        <w:numPr>
          <w:ilvl w:val="0"/>
          <w:numId w:val="1004"/>
        </w:numPr>
      </w:pPr>
      <w:r>
        <w:t xml:space="preserve">Load growth and trailer turns.</w:t>
      </w:r>
    </w:p>
    <w:p>
      <w:pPr>
        <w:pStyle w:val="Compact"/>
        <w:numPr>
          <w:ilvl w:val="0"/>
          <w:numId w:val="1004"/>
        </w:numPr>
      </w:pPr>
      <w:r>
        <w:t xml:space="preserve">Revenue per load.</w:t>
      </w:r>
    </w:p>
    <w:p>
      <w:pPr>
        <w:pStyle w:val="Compact"/>
        <w:numPr>
          <w:ilvl w:val="0"/>
          <w:numId w:val="1004"/>
        </w:numPr>
      </w:pPr>
      <w:r>
        <w:t xml:space="preserve">Reliance on third-party capacity.</w:t>
      </w:r>
    </w:p>
    <w:p>
      <w:pPr>
        <w:pStyle w:val="Compact"/>
        <w:numPr>
          <w:ilvl w:val="0"/>
          <w:numId w:val="1004"/>
        </w:numPr>
      </w:pPr>
      <w:r>
        <w:t xml:space="preserve">Gross-profit dollars rather than reported revenue alone.</w:t>
      </w:r>
    </w:p>
    <w:p>
      <w:pPr>
        <w:pStyle w:val="FirstParagraph"/>
      </w:pPr>
      <w:r>
        <w:t xml:space="preserve">JBT should be an early beneficiary of higher contractual rates, but outsourcing loads at elevated market prices could continue to absorb much of that improvement.</w:t>
      </w:r>
    </w:p>
    <w:bookmarkEnd w:id="20"/>
    <w:bookmarkStart w:id="21" w:name="Xc5d2dbc59eebd2cbd647a2731d50fe322f122b6"/>
    <w:p>
      <w:pPr>
        <w:pStyle w:val="Heading3"/>
      </w:pPr>
      <w:r>
        <w:t xml:space="preserve">5. Final Mile: Better profit quality despite lower revenue</w:t>
      </w:r>
    </w:p>
    <w:p>
      <w:pPr>
        <w:pStyle w:val="FirstParagraph"/>
      </w:pPr>
      <w:r>
        <w:t xml:space="preserve">Final Mile revenue is expected to decline about 5% to roughly</w:t>
      </w:r>
      <w:r>
        <w:t xml:space="preserve"> </w:t>
      </w:r>
      <m:oMath>
        <m:r>
          <m:t>200</m:t>
        </m:r>
        <m:r>
          <m:t>m</m:t>
        </m:r>
        <m:r>
          <m:t>i</m:t>
        </m:r>
        <m:r>
          <m:t>l</m:t>
        </m:r>
        <m:r>
          <m:t>l</m:t>
        </m:r>
        <m:r>
          <m:t>i</m:t>
        </m:r>
        <m:r>
          <m:t>o</m:t>
        </m:r>
        <m:r>
          <m:t>n</m:t>
        </m:r>
        <m:r>
          <m:rPr>
            <m:sty m:val="p"/>
          </m:rPr>
          <m:t>*</m:t>
        </m:r>
        <m:r>
          <m:rPr>
            <m:sty m:val="p"/>
          </m:rPr>
          <m:t>*</m:t>
        </m:r>
        <m:r>
          <m:rPr>
            <m:sty m:val="p"/>
          </m:rPr>
          <m:t>.</m:t>
        </m:r>
        <m:r>
          <m:t>M</m:t>
        </m:r>
        <m:r>
          <m:t>a</m:t>
        </m:r>
        <m:r>
          <m:t>n</m:t>
        </m:r>
        <m:r>
          <m:t>a</m:t>
        </m:r>
        <m:r>
          <m:t>g</m:t>
        </m:r>
        <m:r>
          <m:t>e</m:t>
        </m:r>
        <m:r>
          <m:t>m</m:t>
        </m:r>
        <m:r>
          <m:t>e</m:t>
        </m:r>
        <m:r>
          <m:t>n</m:t>
        </m:r>
        <m:r>
          <m:t>t</m:t>
        </m:r>
        <m:r>
          <m:t>p</m:t>
        </m:r>
        <m:r>
          <m:t>r</m:t>
        </m:r>
        <m:r>
          <m:t>e</m:t>
        </m:r>
        <m:r>
          <m:t>v</m:t>
        </m:r>
        <m:r>
          <m:t>i</m:t>
        </m:r>
        <m:r>
          <m:t>o</m:t>
        </m:r>
        <m:r>
          <m:t>u</m:t>
        </m:r>
        <m:r>
          <m:t>s</m:t>
        </m:r>
        <m:r>
          <m:t>l</m:t>
        </m:r>
        <m:r>
          <m:t>y</m:t>
        </m:r>
        <m:r>
          <m:t>i</m:t>
        </m:r>
        <m:r>
          <m:t>d</m:t>
        </m:r>
        <m:r>
          <m:t>e</m:t>
        </m:r>
        <m:r>
          <m:t>n</m:t>
        </m:r>
        <m:r>
          <m:t>t</m:t>
        </m:r>
        <m:r>
          <m:t>i</m:t>
        </m:r>
        <m:r>
          <m:t>f</m:t>
        </m:r>
        <m:r>
          <m:t>i</m:t>
        </m:r>
        <m:r>
          <m:t>e</m:t>
        </m:r>
        <m:r>
          <m:t>d</m:t>
        </m:r>
        <m:r>
          <m:t>a</m:t>
        </m:r>
        <m:r>
          <m:t>n</m:t>
        </m:r>
        <m:r>
          <m:t>a</m:t>
        </m:r>
        <m:r>
          <m:t>p</m:t>
        </m:r>
        <m:r>
          <m:t>p</m:t>
        </m:r>
        <m:r>
          <m:t>r</m:t>
        </m:r>
        <m:r>
          <m:t>o</m:t>
        </m:r>
        <m:r>
          <m:t>x</m:t>
        </m:r>
        <m:r>
          <m:t>i</m:t>
        </m:r>
        <m:r>
          <m:t>m</m:t>
        </m:r>
        <m:r>
          <m:t>a</m:t>
        </m:r>
        <m:r>
          <m:t>t</m:t>
        </m:r>
        <m:r>
          <m:t>e</m:t>
        </m:r>
        <m:r>
          <m:t>l</m:t>
        </m:r>
        <m:r>
          <m:t>y</m:t>
        </m:r>
        <m:r>
          <m:rPr>
            <m:sty m:val="p"/>
          </m:rPr>
          <m:t>*</m:t>
        </m:r>
        <m:r>
          <m:rPr>
            <m:sty m:val="p"/>
          </m:rPr>
          <m:t>*</m:t>
        </m:r>
      </m:oMath>
      <w:r>
        <w:rPr>
          <w:b/>
          <w:bCs/>
        </w:rPr>
        <w:t xml:space="preserve">90 million full-year revenue headwind</w:t>
      </w:r>
      <w:r>
        <w:t xml:space="preserve"> </w:t>
      </w:r>
      <w:r>
        <w:t xml:space="preserve">from lost business, although new wins were expected to provide a partial offset. (</w:t>
      </w:r>
      <w:hyperlink r:id="rId10">
        <w:r>
          <w:rPr>
            <w:rStyle w:val="Hyperlink"/>
          </w:rPr>
          <w:t xml:space="preserve">zacks.com</w:t>
        </w:r>
      </w:hyperlink>
      <w:r>
        <w:t xml:space="preserve">)</w:t>
      </w:r>
    </w:p>
    <w:p>
      <w:pPr>
        <w:pStyle w:val="BodyText"/>
      </w:pPr>
      <w:r>
        <w:t xml:space="preserve">Q1 demonstrated that lower revenue need not mean lower earnings: operating income increased 53% as management improved account quality and reduced costs. A similar Q2 outcome—revenue contraction but resilient profit—would be acceptable.</w:t>
      </w:r>
    </w:p>
    <w:bookmarkEnd w:id="21"/>
    <w:bookmarkEnd w:id="22"/>
    <w:bookmarkStart w:id="24" w:name="cost-savings-and-consolidated-margins"/>
    <w:p>
      <w:pPr>
        <w:pStyle w:val="Heading2"/>
      </w:pPr>
      <w:r>
        <w:t xml:space="preserve">Cost savings and consolidated margins</w:t>
      </w:r>
    </w:p>
    <w:p>
      <w:pPr>
        <w:pStyle w:val="FirstParagraph"/>
      </w:pPr>
      <w:r>
        <w:t xml:space="preserve">Q1 revenue increased 5%, operating income rose 16% and EPS advanced 27%, helped by productivity and structural cost reductions. Management said it removed more than $30 million of cost during Q1 and was operating at an annualized pace above its original $100 million target. (</w:t>
      </w:r>
      <w:hyperlink r:id="rId23">
        <w:r>
          <w:rPr>
            <w:rStyle w:val="Hyperlink"/>
          </w:rPr>
          <w:t xml:space="preserve">investor.jbhunt.com</w:t>
        </w:r>
      </w:hyperlink>
      <w:r>
        <w:t xml:space="preserve">)</w:t>
      </w:r>
    </w:p>
    <w:p>
      <w:pPr>
        <w:pStyle w:val="BodyText"/>
      </w:pPr>
      <w:r>
        <w:t xml:space="preserve">Based on consensus EPS, the current tax-rate framework and recent share count, the Street appears to be implicitly looking for consolidated operating income near</w:t>
      </w:r>
      <w:r>
        <w:t xml:space="preserve"> </w:t>
      </w:r>
      <w:r>
        <w:rPr>
          <w:b/>
          <w:bCs/>
        </w:rPr>
        <w:t xml:space="preserve">$230 million</w:t>
      </w:r>
      <w:r>
        <w:t xml:space="preserve"> </w:t>
      </w:r>
      <w:r>
        <w:t xml:space="preserve">and an operating margin around</w:t>
      </w:r>
      <w:r>
        <w:t xml:space="preserve"> </w:t>
      </w:r>
      <w:r>
        <w:rPr>
          <w:b/>
          <w:bCs/>
        </w:rPr>
        <w:t xml:space="preserve">7.3%</w:t>
      </w:r>
      <w:r>
        <w:t xml:space="preserve">, versus 6.7% in Q2 2025. That makes margin conversion a meaningful hurdle rather than an optional upside item.</w:t>
      </w:r>
    </w:p>
    <w:p>
      <w:pPr>
        <w:pStyle w:val="BodyText"/>
      </w:pPr>
      <w:r>
        <w:t xml:space="preserve">Investors should listen for:</w:t>
      </w:r>
    </w:p>
    <w:p>
      <w:pPr>
        <w:pStyle w:val="Compact"/>
        <w:numPr>
          <w:ilvl w:val="0"/>
          <w:numId w:val="1005"/>
        </w:numPr>
      </w:pPr>
      <w:r>
        <w:t xml:space="preserve">Whether the cost-removal run rate remains near or above $130 million.</w:t>
      </w:r>
    </w:p>
    <w:p>
      <w:pPr>
        <w:pStyle w:val="Compact"/>
        <w:numPr>
          <w:ilvl w:val="0"/>
          <w:numId w:val="1005"/>
        </w:numPr>
      </w:pPr>
      <w:r>
        <w:t xml:space="preserve">How much savings are being reinvested in drivers, technology and growth.</w:t>
      </w:r>
    </w:p>
    <w:p>
      <w:pPr>
        <w:pStyle w:val="Compact"/>
        <w:numPr>
          <w:ilvl w:val="0"/>
          <w:numId w:val="1005"/>
        </w:numPr>
      </w:pPr>
      <w:r>
        <w:t xml:space="preserve">Insurance, medical and driver-wage inflation.</w:t>
      </w:r>
    </w:p>
    <w:p>
      <w:pPr>
        <w:pStyle w:val="Compact"/>
        <w:numPr>
          <w:ilvl w:val="0"/>
          <w:numId w:val="1005"/>
        </w:numPr>
      </w:pPr>
      <w:r>
        <w:t xml:space="preserve">Whether pricing now exceeds core inflation.</w:t>
      </w:r>
    </w:p>
    <w:p>
      <w:pPr>
        <w:pStyle w:val="Compact"/>
        <w:numPr>
          <w:ilvl w:val="0"/>
          <w:numId w:val="1005"/>
        </w:numPr>
      </w:pPr>
      <w:r>
        <w:t xml:space="preserve">Any change to the</w:t>
      </w:r>
      <w:r>
        <w:t xml:space="preserve"> </w:t>
      </w:r>
      <m:oMath>
        <m:r>
          <m:t>600</m:t>
        </m:r>
        <m:r>
          <m:rPr>
            <m:sty m:val="p"/>
          </m:rPr>
          <m:t>–</m:t>
        </m:r>
      </m:oMath>
      <w:r>
        <w:rPr>
          <w:b/>
          <w:bCs/>
        </w:rPr>
        <w:t xml:space="preserve">800 million</w:t>
      </w:r>
      <w:r>
        <w:t xml:space="preserve"> </w:t>
      </w:r>
      <w:r>
        <w:t xml:space="preserve">2026 net-capex framework.</w:t>
      </w:r>
    </w:p>
    <w:bookmarkEnd w:id="24"/>
    <w:bookmarkStart w:id="28" w:name="what-could-move-the-stock"/>
    <w:p>
      <w:pPr>
        <w:pStyle w:val="Heading2"/>
      </w:pPr>
      <w:r>
        <w:t xml:space="preserve">What could move the stock</w:t>
      </w:r>
    </w:p>
    <w:bookmarkStart w:id="25" w:name="bullish-report"/>
    <w:p>
      <w:pPr>
        <w:pStyle w:val="Heading3"/>
      </w:pPr>
      <w:r>
        <w:t xml:space="preserve">Bullish report</w:t>
      </w:r>
    </w:p>
    <w:p>
      <w:pPr>
        <w:pStyle w:val="Compact"/>
        <w:numPr>
          <w:ilvl w:val="0"/>
          <w:numId w:val="1006"/>
        </w:numPr>
      </w:pPr>
      <w:r>
        <w:t xml:space="preserve">EPS meaningfully above $1.71, supported by operations rather than tax or share count.</w:t>
      </w:r>
    </w:p>
    <w:p>
      <w:pPr>
        <w:pStyle w:val="Compact"/>
        <w:numPr>
          <w:ilvl w:val="0"/>
          <w:numId w:val="1006"/>
        </w:numPr>
      </w:pPr>
      <w:r>
        <w:t xml:space="preserve">Intermodal margin expansion with positive ex-fuel pricing.</w:t>
      </w:r>
    </w:p>
    <w:p>
      <w:pPr>
        <w:pStyle w:val="Compact"/>
        <w:numPr>
          <w:ilvl w:val="0"/>
          <w:numId w:val="1006"/>
        </w:numPr>
      </w:pPr>
      <w:r>
        <w:t xml:space="preserve">ICS gross margin improves sequentially.</w:t>
      </w:r>
    </w:p>
    <w:p>
      <w:pPr>
        <w:pStyle w:val="Compact"/>
        <w:numPr>
          <w:ilvl w:val="0"/>
          <w:numId w:val="1006"/>
        </w:numPr>
      </w:pPr>
      <w:r>
        <w:t xml:space="preserve">Management describes truckload pricing as accelerating into the second half.</w:t>
      </w:r>
    </w:p>
    <w:p>
      <w:pPr>
        <w:pStyle w:val="Compact"/>
        <w:numPr>
          <w:ilvl w:val="0"/>
          <w:numId w:val="1006"/>
        </w:numPr>
      </w:pPr>
      <w:r>
        <w:t xml:space="preserve">Dedicated truck wins and pipeline remain strong.</w:t>
      </w:r>
    </w:p>
    <w:p>
      <w:pPr>
        <w:pStyle w:val="Compact"/>
        <w:numPr>
          <w:ilvl w:val="0"/>
          <w:numId w:val="1006"/>
        </w:numPr>
      </w:pPr>
      <w:r>
        <w:t xml:space="preserve">Commentary implies further consensus upgrades for 2026 and 2027.</w:t>
      </w:r>
    </w:p>
    <w:bookmarkEnd w:id="25"/>
    <w:bookmarkStart w:id="26" w:name="merely-in-line"/>
    <w:p>
      <w:pPr>
        <w:pStyle w:val="Heading3"/>
      </w:pPr>
      <w:r>
        <w:t xml:space="preserve">Merely “in line”</w:t>
      </w:r>
    </w:p>
    <w:p>
      <w:pPr>
        <w:pStyle w:val="Compact"/>
        <w:numPr>
          <w:ilvl w:val="0"/>
          <w:numId w:val="1007"/>
        </w:numPr>
      </w:pPr>
      <w:r>
        <w:t xml:space="preserve">Revenue and EPS modestly beat.</w:t>
      </w:r>
    </w:p>
    <w:p>
      <w:pPr>
        <w:pStyle w:val="Compact"/>
        <w:numPr>
          <w:ilvl w:val="0"/>
          <w:numId w:val="1007"/>
        </w:numPr>
      </w:pPr>
      <w:r>
        <w:t xml:space="preserve">Intermodal volumes are healthy, but pricing remains subdued.</w:t>
      </w:r>
    </w:p>
    <w:p>
      <w:pPr>
        <w:pStyle w:val="Compact"/>
        <w:numPr>
          <w:ilvl w:val="0"/>
          <w:numId w:val="1007"/>
        </w:numPr>
      </w:pPr>
      <w:r>
        <w:t xml:space="preserve">ICS and JBT continue to absorb rising carrier costs.</w:t>
      </w:r>
    </w:p>
    <w:p>
      <w:pPr>
        <w:pStyle w:val="Compact"/>
        <w:numPr>
          <w:ilvl w:val="0"/>
          <w:numId w:val="1007"/>
        </w:numPr>
      </w:pPr>
      <w:r>
        <w:t xml:space="preserve">Management stays constructive but avoids quantifying second-half margin upside.</w:t>
      </w:r>
    </w:p>
    <w:p>
      <w:pPr>
        <w:pStyle w:val="FirstParagraph"/>
      </w:pPr>
      <w:r>
        <w:t xml:space="preserve">Given the valuation, that may not be sufficient to produce a positive share-price response.</w:t>
      </w:r>
    </w:p>
    <w:bookmarkEnd w:id="26"/>
    <w:bookmarkStart w:id="27" w:name="bearish-report"/>
    <w:p>
      <w:pPr>
        <w:pStyle w:val="Heading3"/>
      </w:pPr>
      <w:r>
        <w:t xml:space="preserve">Bearish report</w:t>
      </w:r>
    </w:p>
    <w:p>
      <w:pPr>
        <w:pStyle w:val="Compact"/>
        <w:numPr>
          <w:ilvl w:val="0"/>
          <w:numId w:val="1008"/>
        </w:numPr>
      </w:pPr>
      <w:r>
        <w:t xml:space="preserve">Purchased transportation costs overwhelm higher customer rates.</w:t>
      </w:r>
    </w:p>
    <w:p>
      <w:pPr>
        <w:pStyle w:val="Compact"/>
        <w:numPr>
          <w:ilvl w:val="0"/>
          <w:numId w:val="1008"/>
        </w:numPr>
      </w:pPr>
      <w:r>
        <w:t xml:space="preserve">ICS gross margin deteriorates again.</w:t>
      </w:r>
    </w:p>
    <w:p>
      <w:pPr>
        <w:pStyle w:val="Compact"/>
        <w:numPr>
          <w:ilvl w:val="0"/>
          <w:numId w:val="1008"/>
        </w:numPr>
      </w:pPr>
      <w:r>
        <w:t xml:space="preserve">Intermodal pricing remains flat or negative despite the tighter highway market.</w:t>
      </w:r>
    </w:p>
    <w:p>
      <w:pPr>
        <w:pStyle w:val="Compact"/>
        <w:numPr>
          <w:ilvl w:val="0"/>
          <w:numId w:val="1008"/>
        </w:numPr>
      </w:pPr>
      <w:r>
        <w:t xml:space="preserve">Dedicated growth is delayed while hiring and start-up costs rise.</w:t>
      </w:r>
    </w:p>
    <w:p>
      <w:pPr>
        <w:pStyle w:val="Compact"/>
        <w:numPr>
          <w:ilvl w:val="0"/>
          <w:numId w:val="1008"/>
        </w:numPr>
      </w:pPr>
      <w:r>
        <w:t xml:space="preserve">Management characterizes recent market tightness as temporary or demand begins weakening.</w:t>
      </w:r>
    </w:p>
    <w:bookmarkEnd w:id="27"/>
    <w:bookmarkEnd w:id="28"/>
    <w:bookmarkStart w:id="29" w:name="bottom-line"/>
    <w:p>
      <w:pPr>
        <w:pStyle w:val="Heading2"/>
      </w:pPr>
      <w:r>
        <w:t xml:space="preserve">Bottom line</w:t>
      </w:r>
    </w:p>
    <w:p>
      <w:pPr>
        <w:pStyle w:val="FirstParagraph"/>
      </w:pPr>
      <w:r>
        <w:t xml:space="preserve">JBHT’s Q2 report is less about proving that freight conditions have improved—they clearly tightened during the quarter—and more about proving that</w:t>
      </w:r>
      <w:r>
        <w:t xml:space="preserve"> </w:t>
      </w:r>
      <w:r>
        <w:rPr>
          <w:b/>
          <w:bCs/>
        </w:rPr>
        <w:t xml:space="preserve">J.B. Hunt can monetize that improvement</w:t>
      </w:r>
      <w:r>
        <w:t xml:space="preserve">.</w:t>
      </w:r>
    </w:p>
    <w:p>
      <w:pPr>
        <w:pStyle w:val="BodyText"/>
      </w:pPr>
      <w:r>
        <w:t xml:space="preserve">The cleanest positive signal would be a combination of:</w:t>
      </w:r>
    </w:p>
    <w:p>
      <w:pPr>
        <w:pStyle w:val="Compact"/>
        <w:numPr>
          <w:ilvl w:val="0"/>
          <w:numId w:val="1009"/>
        </w:numPr>
      </w:pPr>
      <w:r>
        <w:t xml:space="preserve">Continued intermodal volume growth;</w:t>
      </w:r>
    </w:p>
    <w:p>
      <w:pPr>
        <w:pStyle w:val="Compact"/>
        <w:numPr>
          <w:ilvl w:val="0"/>
          <w:numId w:val="1009"/>
        </w:numPr>
      </w:pPr>
      <w:r>
        <w:t xml:space="preserve">Positive intermodal yield;</w:t>
      </w:r>
    </w:p>
    <w:p>
      <w:pPr>
        <w:pStyle w:val="Compact"/>
        <w:numPr>
          <w:ilvl w:val="0"/>
          <w:numId w:val="1009"/>
        </w:numPr>
      </w:pPr>
      <w:r>
        <w:t xml:space="preserve">Sequential ICS margin recovery; and</w:t>
      </w:r>
    </w:p>
    <w:p>
      <w:pPr>
        <w:pStyle w:val="Compact"/>
        <w:numPr>
          <w:ilvl w:val="0"/>
          <w:numId w:val="1009"/>
        </w:numPr>
      </w:pPr>
      <w:r>
        <w:t xml:space="preserve">Consolidated margin expansion exceeding the benefit from cost cutting alone.</w:t>
      </w:r>
    </w:p>
    <w:p>
      <w:pPr>
        <w:pStyle w:val="FirstParagraph"/>
      </w:pPr>
      <w:r>
        <w:t xml:space="preserve">The setup is operationally constructive, but expectations and valuation are elevated. A strong headline beat may be necessary; a convincing second-half pricing and margin narrative is likely what determines the stock’s sustained reaction.</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jbhunt.com/events-and-presentations" TargetMode="External" /><Relationship Type="http://schemas.openxmlformats.org/officeDocument/2006/relationships/hyperlink" Id="rId23" Target="https://investor.jbhunt.com/news/2026/04-15-2026-210545945?utm_source=openai" TargetMode="External" /><Relationship Type="http://schemas.openxmlformats.org/officeDocument/2006/relationships/hyperlink" Id="rId12" Target="https://www.freightwaves.com/news/routing-guides-are-crumbling-it-is-different-this-time?utm_source=openai" TargetMode="External" /><Relationship Type="http://schemas.openxmlformats.org/officeDocument/2006/relationships/hyperlink" Id="rId15" Target="https://www.jbhunt.com/content/dam/jbhunt/jbh/investor-relations/documents/earnings-releases/Q1-2026-Earnings-Release-Schedules.pdf?utm_source=openai" TargetMode="External" /><Relationship Type="http://schemas.openxmlformats.org/officeDocument/2006/relationships/hyperlink" Id="rId13" Target="https://www.jbhunt.com/our-company/newsroom/2026/04/q1-2026-earnings?utm_source=openai" TargetMode="External" /><Relationship Type="http://schemas.openxmlformats.org/officeDocument/2006/relationships/hyperlink" Id="rId18" Target="https://www.sec.gov/Archives/edgar/data/728535/000143774926013300/jbht20260331_10q.htm?utm_source=openai" TargetMode="External" /><Relationship Type="http://schemas.openxmlformats.org/officeDocument/2006/relationships/hyperlink" Id="rId10" Target="https://www.zacks.com/stock/news/2951494/countdown-to-jb-hunt-jbht-q2-earnings-wall-street-forecasts-for-key-metric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jbhunt.com/events-and-presentations" TargetMode="External" /><Relationship Type="http://schemas.openxmlformats.org/officeDocument/2006/relationships/hyperlink" Id="rId23" Target="https://investor.jbhunt.com/news/2026/04-15-2026-210545945?utm_source=openai" TargetMode="External" /><Relationship Type="http://schemas.openxmlformats.org/officeDocument/2006/relationships/hyperlink" Id="rId12" Target="https://www.freightwaves.com/news/routing-guides-are-crumbling-it-is-different-this-time?utm_source=openai" TargetMode="External" /><Relationship Type="http://schemas.openxmlformats.org/officeDocument/2006/relationships/hyperlink" Id="rId15" Target="https://www.jbhunt.com/content/dam/jbhunt/jbh/investor-relations/documents/earnings-releases/Q1-2026-Earnings-Release-Schedules.pdf?utm_source=openai" TargetMode="External" /><Relationship Type="http://schemas.openxmlformats.org/officeDocument/2006/relationships/hyperlink" Id="rId13" Target="https://www.jbhunt.com/our-company/newsroom/2026/04/q1-2026-earnings?utm_source=openai" TargetMode="External" /><Relationship Type="http://schemas.openxmlformats.org/officeDocument/2006/relationships/hyperlink" Id="rId18" Target="https://www.sec.gov/Archives/edgar/data/728535/000143774926013300/jbht20260331_10q.htm?utm_source=openai" TargetMode="External" /><Relationship Type="http://schemas.openxmlformats.org/officeDocument/2006/relationships/hyperlink" Id="rId10" Target="https://www.zacks.com/stock/news/2951494/countdown-to-jb-hunt-jbht-q2-earnings-wall-street-forecasts-for-key-metric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2026-07-15T00:35:00Z</dcterms:created>
  <dcterms:modified xsi:type="dcterms:W3CDTF">2026-07-15T00:35:00Z</dcterms:modified>
</cp:coreProperties>
</file>

<file path=docProps/custom.xml><?xml version="1.0" encoding="utf-8"?>
<Properties xmlns="http://schemas.openxmlformats.org/officeDocument/2006/custom-properties" xmlns:vt="http://schemas.openxmlformats.org/officeDocument/2006/docPropsVTypes"/>
</file>