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6ab1333db43c87e3944eac64ca2038a6dbc45ef"/>
    <w:p>
      <w:pPr>
        <w:pStyle w:val="Heading1"/>
      </w:pPr>
      <w:r>
        <w:t xml:space="preserve">J.B. Hunt (NASDAQ: JBHT) — 2Q26 Earnings Preview</w:t>
      </w:r>
    </w:p>
    <w:p>
      <w:pPr>
        <w:pStyle w:val="FirstParagraph"/>
      </w:pPr>
      <w:r>
        <w:rPr>
          <w:b/>
          <w:bCs/>
        </w:rPr>
        <w:t xml:space="preserve">Report timing:</w:t>
      </w:r>
      <w:r>
        <w:t xml:space="preserve"> </w:t>
      </w:r>
      <w:r>
        <w:t xml:space="preserve">J.B. Hunt is scheduled to report second-quarter 2026 results</w:t>
      </w:r>
      <w:r>
        <w:t xml:space="preserve"> </w:t>
      </w:r>
      <w:r>
        <w:rPr>
          <w:b/>
          <w:bCs/>
        </w:rPr>
        <w:t xml:space="preserve">after the market close on Wednesday, July 15, 2026</w:t>
      </w:r>
      <w:r>
        <w:t xml:space="preserve">, followed by a</w:t>
      </w:r>
      <w:r>
        <w:t xml:space="preserve"> </w:t>
      </w:r>
      <w:r>
        <w:rPr>
          <w:b/>
          <w:bCs/>
        </w:rPr>
        <w:t xml:space="preserve">4:00 p.m. CDT</w:t>
      </w:r>
      <w:r>
        <w:t xml:space="preserve"> </w:t>
      </w:r>
      <w:r>
        <w:t xml:space="preserve">conference call.</w:t>
      </w:r>
    </w:p>
    <w:bookmarkStart w:id="9" w:name="Xf00596c5867f6ece951a3992406e5dd04061ee5"/>
    <w:p>
      <w:pPr>
        <w:pStyle w:val="Heading2"/>
      </w:pPr>
      <w:r>
        <w:t xml:space="preserve">Investment view: the quarter is about proving that freight-cycle recovery is converting into margin recovery</w:t>
      </w:r>
    </w:p>
    <w:p>
      <w:pPr>
        <w:pStyle w:val="FirstParagraph"/>
      </w:pPr>
      <w:r>
        <w:t xml:space="preserve">J.B. Hunt entered 2026 with improving execution, accelerating freight-market commentary, and a substantially stronger balance sheet. The key question for 2Q is no longer simply whether volumes are improving—management already established that demand, pricing discussions, and pipeline activity had become more constructive by late 1Q. The question is whether that strength is now translating into</w:t>
      </w:r>
      <w:r>
        <w:t xml:space="preserve"> </w:t>
      </w:r>
      <w:r>
        <w:rPr>
          <w:b/>
          <w:bCs/>
        </w:rPr>
        <w:t xml:space="preserve">net pricing and gross-margin expansion</w:t>
      </w:r>
      <w:r>
        <w:t xml:space="preserve">, particularly in Intermodal and brokerage.</w:t>
      </w:r>
    </w:p>
    <w:p>
      <w:pPr>
        <w:pStyle w:val="BodyText"/>
      </w:pPr>
      <w:r>
        <w:t xml:space="preserve">The setup appears favorable for a year-over-year earnings improvement because 2Q25 was a weak baseline: EPS was</w:t>
      </w:r>
      <w:r>
        <w:t xml:space="preserve"> </w:t>
      </w:r>
      <m:oMath>
        <m:r>
          <m:t>1.31</m:t>
        </m:r>
        <m:r>
          <m:rPr>
            <m:sty m:val="p"/>
          </m:rPr>
          <m:t>*</m:t>
        </m:r>
        <m:r>
          <m:rPr>
            <m:sty m:val="p"/>
          </m:rPr>
          <m:t>*</m:t>
        </m:r>
        <m:r>
          <m:rPr>
            <m:sty m:val="p"/>
          </m:rPr>
          <m:t>,</m:t>
        </m:r>
        <m:r>
          <m:t>o</m:t>
        </m:r>
        <m:r>
          <m:t>p</m:t>
        </m:r>
        <m:r>
          <m:t>e</m:t>
        </m:r>
        <m:r>
          <m:t>r</m:t>
        </m:r>
        <m:r>
          <m:t>a</m:t>
        </m:r>
        <m:r>
          <m:t>t</m:t>
        </m:r>
        <m:r>
          <m:t>i</m:t>
        </m:r>
        <m:r>
          <m:t>n</m:t>
        </m:r>
        <m:r>
          <m:t>g</m:t>
        </m:r>
        <m:r>
          <m:t>i</m:t>
        </m:r>
        <m:r>
          <m:t>n</m:t>
        </m:r>
        <m:r>
          <m:t>c</m:t>
        </m:r>
        <m:r>
          <m:t>o</m:t>
        </m:r>
        <m:r>
          <m:t>m</m:t>
        </m:r>
        <m:r>
          <m:t>e</m:t>
        </m:r>
        <m:r>
          <m:t>w</m:t>
        </m:r>
        <m:r>
          <m:t>a</m:t>
        </m:r>
        <m:r>
          <m:t>s</m:t>
        </m:r>
        <m:r>
          <m:rPr>
            <m:sty m:val="p"/>
          </m:rPr>
          <m:t>*</m:t>
        </m:r>
        <m:r>
          <m:rPr>
            <m:sty m:val="p"/>
          </m:rPr>
          <m:t>*</m:t>
        </m:r>
      </m:oMath>
      <w:r>
        <w:rPr>
          <w:b/>
          <w:bCs/>
        </w:rPr>
        <w:t xml:space="preserve">197 million</w:t>
      </w:r>
      <w:r>
        <w:t xml:space="preserve">, and the operating margin was</w:t>
      </w:r>
      <w:r>
        <w:t xml:space="preserve"> </w:t>
      </w:r>
      <w:r>
        <w:rPr>
          <w:b/>
          <w:bCs/>
        </w:rPr>
        <w:t xml:space="preserve">6.7%</w:t>
      </w:r>
      <w:r>
        <w:t xml:space="preserve">. But the stock has already rallied sharply: JBHT closed at</w:t>
      </w:r>
      <w:r>
        <w:t xml:space="preserve"> </w:t>
      </w:r>
      <w:r>
        <w:rPr>
          <w:b/>
          <w:bCs/>
        </w:rPr>
        <w:t xml:space="preserve">$280.91 on July 14</w:t>
      </w:r>
      <w:r>
        <w:t xml:space="preserve">, up about</w:t>
      </w:r>
      <w:r>
        <w:t xml:space="preserve"> </w:t>
      </w:r>
      <w:r>
        <w:rPr>
          <w:b/>
          <w:bCs/>
        </w:rPr>
        <w:t xml:space="preserve">25% from April 15</w:t>
      </w:r>
      <w:r>
        <w:t xml:space="preserve">, modestly ahead of Knight-Swift and meaningfully ahead of C.H. Robinson and Old Dominion over that interval. That makes the call’s commentary on the durability and pace of margin recovery at least as important as the headline result.</w:t>
      </w:r>
    </w:p>
    <w:bookmarkEnd w:id="9"/>
    <w:bookmarkStart w:id="14" w:name="what-matters-most"/>
    <w:p>
      <w:pPr>
        <w:pStyle w:val="Heading2"/>
      </w:pPr>
      <w:r>
        <w:t xml:space="preserve">What matters most</w:t>
      </w:r>
    </w:p>
    <w:bookmarkStart w:id="10" w:name="Xc57821eb580239cfeee34cfb4d0a6f6af3c3cf2"/>
    <w:p>
      <w:pPr>
        <w:pStyle w:val="Heading3"/>
      </w:pPr>
      <w:r>
        <w:t xml:space="preserve">1. Intermodal: volume is strong; pricing is the swing factor</w:t>
      </w:r>
    </w:p>
    <w:p>
      <w:pPr>
        <w:pStyle w:val="FirstParagraph"/>
      </w:pPr>
      <w:r>
        <w:t xml:space="preserve">Intermodal is the core earnings driver, representing roughly half of revenue and over half of 1Q operating income.</w:t>
      </w:r>
    </w:p>
    <w:p>
      <w:pPr>
        <w:pStyle w:val="BodyText"/>
      </w:pPr>
      <w:r>
        <w:t xml:space="preserve">In 1Q26, Intermodal delivered:</w:t>
      </w:r>
    </w:p>
    <w:p>
      <w:pPr>
        <w:pStyle w:val="Compact"/>
        <w:numPr>
          <w:ilvl w:val="0"/>
          <w:numId w:val="1001"/>
        </w:numPr>
      </w:pPr>
      <w:r>
        <w:rPr>
          <w:b/>
          <w:bCs/>
        </w:rPr>
        <w:t xml:space="preserve">3% load growth</w:t>
      </w:r>
      <w:r>
        <w:t xml:space="preserve">, including</w:t>
      </w:r>
      <w:r>
        <w:t xml:space="preserve"> </w:t>
      </w:r>
      <w:r>
        <w:rPr>
          <w:b/>
          <w:bCs/>
        </w:rPr>
        <w:t xml:space="preserve">7% Eastern-network growth</w:t>
      </w:r>
    </w:p>
    <w:p>
      <w:pPr>
        <w:pStyle w:val="Compact"/>
        <w:numPr>
          <w:ilvl w:val="0"/>
          <w:numId w:val="1001"/>
        </w:numPr>
      </w:pPr>
      <w:r>
        <w:t xml:space="preserve">Record first-quarter volume and a record weekly volume level in March</w:t>
      </w:r>
    </w:p>
    <w:p>
      <w:pPr>
        <w:pStyle w:val="Compact"/>
        <w:numPr>
          <w:ilvl w:val="0"/>
          <w:numId w:val="1001"/>
        </w:numPr>
      </w:pPr>
      <w:r>
        <w:rPr>
          <w:b/>
          <w:bCs/>
        </w:rPr>
        <w:t xml:space="preserve">21% operating-income growth</w:t>
      </w:r>
      <w:r>
        <w:t xml:space="preserve"> </w:t>
      </w:r>
      <w:r>
        <w:t xml:space="preserve">to</w:t>
      </w:r>
      <w:r>
        <w:t xml:space="preserve"> </w:t>
      </w:r>
      <w:r>
        <w:rPr>
          <w:b/>
          <w:bCs/>
        </w:rPr>
        <w:t xml:space="preserve">$114.5 million</w:t>
      </w:r>
    </w:p>
    <w:p>
      <w:pPr>
        <w:pStyle w:val="Compact"/>
        <w:numPr>
          <w:ilvl w:val="0"/>
          <w:numId w:val="1001"/>
        </w:numPr>
      </w:pPr>
      <w:r>
        <w:t xml:space="preserve">A</w:t>
      </w:r>
      <w:r>
        <w:t xml:space="preserve"> </w:t>
      </w:r>
      <w:r>
        <w:rPr>
          <w:b/>
          <w:bCs/>
        </w:rPr>
        <w:t xml:space="preserve">2% decline in revenue per load excluding fuel</w:t>
      </w:r>
      <w:r>
        <w:t xml:space="preserve">, despite the volume strength</w:t>
      </w:r>
    </w:p>
    <w:p>
      <w:pPr>
        <w:pStyle w:val="FirstParagraph"/>
      </w:pPr>
      <w:r>
        <w:t xml:space="preserve">The favorable 2Q setup is clear. The 2Q25 comparison included 6% Intermodal load growth but a 2% decline in ex-fuel revenue per load and a 4% decline in segment operating income. Management said in April that Eastern pricing should move ahead of transcontinental pricing because it competes more directly with highway freight, while transcon remained more competitive—especially on West Coast outbound and backhaul freight.</w:t>
      </w:r>
    </w:p>
    <w:p>
      <w:pPr>
        <w:pStyle w:val="BodyText"/>
      </w:pPr>
      <w:r>
        <w:rPr>
          <w:b/>
          <w:bCs/>
        </w:rPr>
        <w:t xml:space="preserve">Investor focus:</w:t>
      </w:r>
    </w:p>
    <w:p>
      <w:pPr>
        <w:pStyle w:val="Compact"/>
        <w:numPr>
          <w:ilvl w:val="0"/>
          <w:numId w:val="1002"/>
        </w:numPr>
      </w:pPr>
      <w:r>
        <w:t xml:space="preserve">Did 2Q Intermodal revenue per load turn positive excluding fuel?</w:t>
      </w:r>
    </w:p>
    <w:p>
      <w:pPr>
        <w:pStyle w:val="Compact"/>
        <w:numPr>
          <w:ilvl w:val="0"/>
          <w:numId w:val="1002"/>
        </w:numPr>
      </w:pPr>
      <w:r>
        <w:t xml:space="preserve">Did Eastern-network growth remain elevated, and did it produce better yield?</w:t>
      </w:r>
    </w:p>
    <w:p>
      <w:pPr>
        <w:pStyle w:val="Compact"/>
        <w:numPr>
          <w:ilvl w:val="0"/>
          <w:numId w:val="1002"/>
        </w:numPr>
      </w:pPr>
      <w:r>
        <w:t xml:space="preserve">Is transcon pricing still a drag, or is the bid cycle beginning to support broader price recovery?</w:t>
      </w:r>
    </w:p>
    <w:p>
      <w:pPr>
        <w:pStyle w:val="Compact"/>
        <w:numPr>
          <w:ilvl w:val="0"/>
          <w:numId w:val="1002"/>
        </w:numPr>
      </w:pPr>
      <w:r>
        <w:t xml:space="preserve">How much operating leverage did the business generate from higher volume into its prefunded container and network capacity?</w:t>
      </w:r>
    </w:p>
    <w:p>
      <w:pPr>
        <w:pStyle w:val="FirstParagraph"/>
      </w:pPr>
      <w:r>
        <w:t xml:space="preserve">A meaningful price inflection in Intermodal would be particularly important because management believes the network can support approximately</w:t>
      </w:r>
      <w:r>
        <w:t xml:space="preserve"> </w:t>
      </w:r>
      <w:r>
        <w:rPr>
          <w:b/>
          <w:bCs/>
        </w:rPr>
        <w:t xml:space="preserve">20% more volume</w:t>
      </w:r>
      <w:r>
        <w:t xml:space="preserve"> </w:t>
      </w:r>
      <w:r>
        <w:t xml:space="preserve">without requiring meaningful incremental capacity investment.</w:t>
      </w:r>
    </w:p>
    <w:bookmarkEnd w:id="10"/>
    <w:bookmarkStart w:id="11" w:name="X1c7be65c7a9fb9c6682c57af326a78e47181789"/>
    <w:p>
      <w:pPr>
        <w:pStyle w:val="Heading3"/>
      </w:pPr>
      <w:r>
        <w:t xml:space="preserve">2. ICS and Truckload: pricing must finally outpace purchased transportation</w:t>
      </w:r>
    </w:p>
    <w:p>
      <w:pPr>
        <w:pStyle w:val="FirstParagraph"/>
      </w:pPr>
      <w:r>
        <w:t xml:space="preserve">The most cyclical upside—and the biggest near-term execution risk—sits in ICS brokerage and JBT Truckload.</w:t>
      </w:r>
    </w:p>
    <w:p>
      <w:pPr>
        <w:pStyle w:val="BodyText"/>
      </w:pPr>
      <w:r>
        <w:t xml:space="preserve">In 1Q26:</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Segment</w:t>
            </w:r>
          </w:p>
        </w:tc>
        <w:tc>
          <w:tcPr/>
          <w:p>
            <w:pPr>
              <w:pStyle w:val="Compact"/>
              <w:jc w:val="right"/>
            </w:pPr>
            <w:r>
              <w:t xml:space="preserve">1Q26 Volume Growth</w:t>
            </w:r>
          </w:p>
        </w:tc>
        <w:tc>
          <w:tcPr/>
          <w:p>
            <w:pPr>
              <w:pStyle w:val="Compact"/>
              <w:jc w:val="right"/>
            </w:pPr>
            <w:r>
              <w:t xml:space="preserve">Revenue Growth</w:t>
            </w:r>
          </w:p>
        </w:tc>
        <w:tc>
          <w:tcPr/>
          <w:p>
            <w:pPr>
              <w:pStyle w:val="Compact"/>
            </w:pPr>
            <w:r>
              <w:t xml:space="preserve">Key Issue</w:t>
            </w:r>
          </w:p>
        </w:tc>
      </w:tr>
      <w:tr>
        <w:tc>
          <w:tcPr/>
          <w:p>
            <w:pPr>
              <w:pStyle w:val="Compact"/>
            </w:pPr>
            <w:r>
              <w:rPr>
                <w:b/>
                <w:bCs/>
              </w:rPr>
              <w:t xml:space="preserve">ICS</w:t>
            </w:r>
          </w:p>
        </w:tc>
        <w:tc>
          <w:tcPr/>
          <w:p>
            <w:pPr>
              <w:pStyle w:val="Compact"/>
              <w:jc w:val="right"/>
            </w:pPr>
            <w:r>
              <w:t xml:space="preserve">+10%</w:t>
            </w:r>
          </w:p>
        </w:tc>
        <w:tc>
          <w:tcPr/>
          <w:p>
            <w:pPr>
              <w:pStyle w:val="Compact"/>
              <w:jc w:val="right"/>
            </w:pPr>
            <w:r>
              <w:t xml:space="preserve">+20%</w:t>
            </w:r>
          </w:p>
        </w:tc>
        <w:tc>
          <w:tcPr/>
          <w:p>
            <w:pPr>
              <w:pStyle w:val="Compact"/>
            </w:pPr>
            <w:r>
              <w:t xml:space="preserve">Gross margin fell to</w:t>
            </w:r>
            <w:r>
              <w:t xml:space="preserve"> </w:t>
            </w:r>
            <w:r>
              <w:rPr>
                <w:b/>
                <w:bCs/>
              </w:rPr>
              <w:t xml:space="preserve">12.0%</w:t>
            </w:r>
            <w:r>
              <w:t xml:space="preserve"> </w:t>
            </w:r>
            <w:r>
              <w:t xml:space="preserve">from 15.3%; operating loss widened to</w:t>
            </w:r>
            <w:r>
              <w:t xml:space="preserve"> </w:t>
            </w:r>
            <w:r>
              <w:rPr>
                <w:b/>
                <w:bCs/>
              </w:rPr>
              <w:t xml:space="preserve">$4.7M</w:t>
            </w:r>
          </w:p>
        </w:tc>
      </w:tr>
      <w:tr>
        <w:tc>
          <w:tcPr/>
          <w:p>
            <w:pPr>
              <w:pStyle w:val="Compact"/>
            </w:pPr>
            <w:r>
              <w:rPr>
                <w:b/>
                <w:bCs/>
              </w:rPr>
              <w:t xml:space="preserve">JBT</w:t>
            </w:r>
          </w:p>
        </w:tc>
        <w:tc>
          <w:tcPr/>
          <w:p>
            <w:pPr>
              <w:pStyle w:val="Compact"/>
              <w:jc w:val="right"/>
            </w:pPr>
            <w:r>
              <w:t xml:space="preserve">+19%</w:t>
            </w:r>
          </w:p>
        </w:tc>
        <w:tc>
          <w:tcPr/>
          <w:p>
            <w:pPr>
              <w:pStyle w:val="Compact"/>
              <w:jc w:val="right"/>
            </w:pPr>
            <w:r>
              <w:t xml:space="preserve">+23%</w:t>
            </w:r>
          </w:p>
        </w:tc>
        <w:tc>
          <w:tcPr/>
          <w:p>
            <w:pPr>
              <w:pStyle w:val="Compact"/>
            </w:pPr>
            <w:r>
              <w:t xml:space="preserve">Gross profit declined 5% despite volume and yield growth</w:t>
            </w:r>
          </w:p>
        </w:tc>
      </w:tr>
    </w:tbl>
    <w:p>
      <w:pPr>
        <w:pStyle w:val="BodyText"/>
      </w:pPr>
      <w:r>
        <w:t xml:space="preserve">Management’s explanation was straightforward: customer rates were improving, but carrier rates and purchased transportation costs moved faster as capacity tightened. That is normal early in a freight upcycle, but it means investors need evidence that contract repricing is catching up.</w:t>
      </w:r>
    </w:p>
    <w:p>
      <w:pPr>
        <w:pStyle w:val="BodyText"/>
      </w:pPr>
      <w:r>
        <w:t xml:space="preserve">Management described 1Q brokerage pricing as double-digit higher in some areas and said it was winning both rate increases and additional volume. The upside case for 2Q is therefore</w:t>
      </w:r>
      <w:r>
        <w:t xml:space="preserve"> </w:t>
      </w:r>
      <w:r>
        <w:rPr>
          <w:b/>
          <w:bCs/>
        </w:rPr>
        <w:t xml:space="preserve">gross-margin stabilization in ICS and a more material JBT profit conversion</w:t>
      </w:r>
      <w:r>
        <w:t xml:space="preserve">, rather than merely another strong revenue-growth print.</w:t>
      </w:r>
    </w:p>
    <w:p>
      <w:pPr>
        <w:pStyle w:val="BodyText"/>
      </w:pPr>
      <w:r>
        <w:rPr>
          <w:b/>
          <w:bCs/>
        </w:rPr>
        <w:t xml:space="preserve">Investor focus:</w:t>
      </w:r>
    </w:p>
    <w:p>
      <w:pPr>
        <w:pStyle w:val="Compact"/>
        <w:numPr>
          <w:ilvl w:val="0"/>
          <w:numId w:val="1003"/>
        </w:numPr>
      </w:pPr>
      <w:r>
        <w:t xml:space="preserve">Is ICS gross margin sequentially improving from 12.0%?</w:t>
      </w:r>
    </w:p>
    <w:p>
      <w:pPr>
        <w:pStyle w:val="Compact"/>
        <w:numPr>
          <w:ilvl w:val="0"/>
          <w:numId w:val="1003"/>
        </w:numPr>
      </w:pPr>
      <w:r>
        <w:t xml:space="preserve">Can ICS return to breakeven or profitability?</w:t>
      </w:r>
    </w:p>
    <w:p>
      <w:pPr>
        <w:pStyle w:val="Compact"/>
        <w:numPr>
          <w:ilvl w:val="0"/>
          <w:numId w:val="1003"/>
        </w:numPr>
      </w:pPr>
      <w:r>
        <w:t xml:space="preserve">Has JBT’s growth translated into gross-profit-dollar growth as carrier costs settle?</w:t>
      </w:r>
    </w:p>
    <w:p>
      <w:pPr>
        <w:pStyle w:val="Compact"/>
        <w:numPr>
          <w:ilvl w:val="0"/>
          <w:numId w:val="1003"/>
        </w:numPr>
      </w:pPr>
      <w:r>
        <w:t xml:space="preserve">Is contract pricing catching up to spot and procurement costs, or is margin pressure persisting?</w:t>
      </w:r>
    </w:p>
    <w:bookmarkEnd w:id="11"/>
    <w:bookmarkStart w:id="12" w:name="Xcd7465a2f5936749311daee149bde7cbbe0bfb1"/>
    <w:p>
      <w:pPr>
        <w:pStyle w:val="Heading3"/>
      </w:pPr>
      <w:r>
        <w:t xml:space="preserve">3. Dedicated: watch truck sales, pipeline conversion, and start-up costs</w:t>
      </w:r>
    </w:p>
    <w:p>
      <w:pPr>
        <w:pStyle w:val="FirstParagraph"/>
      </w:pPr>
      <w:r>
        <w:t xml:space="preserve">Dedicated remains the company’s most resilient segment and its best multi-year growth lever, but its 2026 profit contribution may lag the pace of sales wins because new accounts carry start-up costs.</w:t>
      </w:r>
    </w:p>
    <w:p>
      <w:pPr>
        <w:pStyle w:val="BodyText"/>
      </w:pPr>
      <w:r>
        <w:t xml:space="preserve">In 1Q26, Dedicated produced:</w:t>
      </w:r>
    </w:p>
    <w:p>
      <w:pPr>
        <w:pStyle w:val="Compact"/>
        <w:numPr>
          <w:ilvl w:val="0"/>
          <w:numId w:val="1004"/>
        </w:numPr>
      </w:pPr>
      <w:r>
        <w:t xml:space="preserve">Revenue up</w:t>
      </w:r>
      <w:r>
        <w:t xml:space="preserve"> </w:t>
      </w:r>
      <w:r>
        <w:rPr>
          <w:b/>
          <w:bCs/>
        </w:rPr>
        <w:t xml:space="preserve">2%</w:t>
      </w:r>
    </w:p>
    <w:p>
      <w:pPr>
        <w:pStyle w:val="Compact"/>
        <w:numPr>
          <w:ilvl w:val="0"/>
          <w:numId w:val="1004"/>
        </w:numPr>
      </w:pPr>
      <w:r>
        <w:t xml:space="preserve">Operating income up</w:t>
      </w:r>
      <w:r>
        <w:t xml:space="preserve"> </w:t>
      </w:r>
      <w:r>
        <w:rPr>
          <w:b/>
          <w:bCs/>
        </w:rPr>
        <w:t xml:space="preserve">9%</w:t>
      </w:r>
      <w:r>
        <w:t xml:space="preserve"> </w:t>
      </w:r>
      <w:r>
        <w:t xml:space="preserve">to</w:t>
      </w:r>
      <w:r>
        <w:t xml:space="preserve"> </w:t>
      </w:r>
      <w:r>
        <w:rPr>
          <w:b/>
          <w:bCs/>
        </w:rPr>
        <w:t xml:space="preserve">$87.4 million</w:t>
      </w:r>
    </w:p>
    <w:p>
      <w:pPr>
        <w:pStyle w:val="Compact"/>
        <w:numPr>
          <w:ilvl w:val="0"/>
          <w:numId w:val="1004"/>
        </w:numPr>
      </w:pPr>
      <w:r>
        <w:t xml:space="preserve">Customer retention of approximately</w:t>
      </w:r>
      <w:r>
        <w:t xml:space="preserve"> </w:t>
      </w:r>
      <w:r>
        <w:rPr>
          <w:b/>
          <w:bCs/>
        </w:rPr>
        <w:t xml:space="preserve">96%</w:t>
      </w:r>
    </w:p>
    <w:p>
      <w:pPr>
        <w:pStyle w:val="Compact"/>
        <w:numPr>
          <w:ilvl w:val="0"/>
          <w:numId w:val="1004"/>
        </w:numPr>
      </w:pPr>
      <w:r>
        <w:t xml:space="preserve">Approximately</w:t>
      </w:r>
      <w:r>
        <w:t xml:space="preserve"> </w:t>
      </w:r>
      <w:r>
        <w:rPr>
          <w:b/>
          <w:bCs/>
        </w:rPr>
        <w:t xml:space="preserve">295 trucks sold</w:t>
      </w:r>
      <w:r>
        <w:t xml:space="preserve"> </w:t>
      </w:r>
      <w:r>
        <w:t xml:space="preserve">during the quarter</w:t>
      </w:r>
    </w:p>
    <w:p>
      <w:pPr>
        <w:pStyle w:val="FirstParagraph"/>
      </w:pPr>
      <w:r>
        <w:t xml:space="preserve">Management reiterated a 2026 objective of</w:t>
      </w:r>
      <w:r>
        <w:t xml:space="preserve"> </w:t>
      </w:r>
      <w:r>
        <w:rPr>
          <w:b/>
          <w:bCs/>
        </w:rPr>
        <w:t xml:space="preserve">800–1,000 net truck sales</w:t>
      </w:r>
      <w:r>
        <w:t xml:space="preserve"> </w:t>
      </w:r>
      <w:r>
        <w:t xml:space="preserve">and described strong—and broad-based—pipeline activity. It also said it had experienced its second-highest month of newly priced deals in five years during March.</w:t>
      </w:r>
    </w:p>
    <w:p>
      <w:pPr>
        <w:pStyle w:val="BodyText"/>
      </w:pPr>
      <w:r>
        <w:t xml:space="preserve">The positive read-through is that tighter trucking capacity should increase customer interest in outsourcing private fleets and securing dedicated capacity. The offset is that faster implementation of wins can temporarily create start-up costs, while driver recruiting may become more difficult and expensive.</w:t>
      </w:r>
    </w:p>
    <w:p>
      <w:pPr>
        <w:pStyle w:val="BodyText"/>
      </w:pPr>
      <w:r>
        <w:rPr>
          <w:b/>
          <w:bCs/>
        </w:rPr>
        <w:t xml:space="preserve">Investor focus:</w:t>
      </w:r>
      <w:r>
        <w:t xml:space="preserve"> </w:t>
      </w:r>
      <w:r>
        <w:t xml:space="preserve">truck additions in the quarter, forward pipeline conversion, incremental driver-cost pressure, and whether management retains its expectation for only modest Dedicated operating-income growth in 2026.</w:t>
      </w:r>
    </w:p>
    <w:bookmarkEnd w:id="12"/>
    <w:bookmarkStart w:id="13" w:name="X45b2dc6cb64d9da315e9073a948c8488b56bd7f"/>
    <w:p>
      <w:pPr>
        <w:pStyle w:val="Heading3"/>
      </w:pPr>
      <w:r>
        <w:t xml:space="preserve">4. Cost-to-serve progress should continue to support margins</w:t>
      </w:r>
    </w:p>
    <w:p>
      <w:pPr>
        <w:pStyle w:val="FirstParagraph"/>
      </w:pPr>
      <w:r>
        <w:t xml:space="preserve">J.B. Hunt’s operational improvement program is a critical part of the thesis because it reduces reliance on a perfect freight-market recovery.</w:t>
      </w:r>
    </w:p>
    <w:p>
      <w:pPr>
        <w:pStyle w:val="BodyText"/>
      </w:pPr>
      <w:r>
        <w:t xml:space="preserve">Management targeted</w:t>
      </w:r>
      <w:r>
        <w:t xml:space="preserve"> </w:t>
      </w:r>
      <m:oMath>
        <m:r>
          <m:t>100</m:t>
        </m:r>
        <m:r>
          <m:t>m</m:t>
        </m:r>
        <m:r>
          <m:t>i</m:t>
        </m:r>
        <m:r>
          <m:t>l</m:t>
        </m:r>
        <m:r>
          <m:t>l</m:t>
        </m:r>
        <m:r>
          <m:t>i</m:t>
        </m:r>
        <m:r>
          <m:t>o</m:t>
        </m:r>
        <m:r>
          <m:t>n</m:t>
        </m:r>
        <m:r>
          <m:rPr>
            <m:sty m:val="p"/>
          </m:rPr>
          <m:t>*</m:t>
        </m:r>
        <m:r>
          <m:rPr>
            <m:sty m:val="p"/>
          </m:rPr>
          <m:t>*</m:t>
        </m:r>
        <m:r>
          <m:t>o</m:t>
        </m:r>
        <m:r>
          <m:t>f</m:t>
        </m:r>
        <m:r>
          <m:t>s</m:t>
        </m:r>
        <m:r>
          <m:t>t</m:t>
        </m:r>
        <m:r>
          <m:t>r</m:t>
        </m:r>
        <m:r>
          <m:t>u</m:t>
        </m:r>
        <m:r>
          <m:t>c</m:t>
        </m:r>
        <m:r>
          <m:t>t</m:t>
        </m:r>
        <m:r>
          <m:t>u</m:t>
        </m:r>
        <m:r>
          <m:t>r</m:t>
        </m:r>
        <m:r>
          <m:t>a</m:t>
        </m:r>
        <m:r>
          <m:t>l</m:t>
        </m:r>
        <m:r>
          <m:t>c</m:t>
        </m:r>
        <m:r>
          <m:t>o</m:t>
        </m:r>
        <m:r>
          <m:t>s</m:t>
        </m:r>
        <m:r>
          <m:t>t</m:t>
        </m:r>
        <m:r>
          <m:t>r</m:t>
        </m:r>
        <m:r>
          <m:t>e</m:t>
        </m:r>
        <m:r>
          <m:t>m</m:t>
        </m:r>
        <m:r>
          <m:t>o</m:t>
        </m:r>
        <m:r>
          <m:t>v</m:t>
        </m:r>
        <m:r>
          <m:t>a</m:t>
        </m:r>
        <m:r>
          <m:t>l</m:t>
        </m:r>
        <m:r>
          <m:rPr>
            <m:sty m:val="p"/>
          </m:rPr>
          <m:t>,</m:t>
        </m:r>
        <m:r>
          <m:t>b</m:t>
        </m:r>
        <m:r>
          <m:t>u</m:t>
        </m:r>
        <m:r>
          <m:t>t</m:t>
        </m:r>
        <m:r>
          <m:t>s</m:t>
        </m:r>
        <m:r>
          <m:t>a</m:t>
        </m:r>
        <m:r>
          <m:t>i</m:t>
        </m:r>
        <m:r>
          <m:t>d</m:t>
        </m:r>
        <m:r>
          <m:t>i</m:t>
        </m:r>
        <m:r>
          <m:t>n</m:t>
        </m:r>
        <m:r>
          <m:t>A</m:t>
        </m:r>
        <m:r>
          <m:t>p</m:t>
        </m:r>
        <m:r>
          <m:t>r</m:t>
        </m:r>
        <m:r>
          <m:t>i</m:t>
        </m:r>
        <m:r>
          <m:t>l</m:t>
        </m:r>
        <m:r>
          <m:t>i</m:t>
        </m:r>
        <m:r>
          <m:t>t</m:t>
        </m:r>
        <m:r>
          <m:t>w</m:t>
        </m:r>
        <m:r>
          <m:t>a</m:t>
        </m:r>
        <m:r>
          <m:t>s</m:t>
        </m:r>
        <m:r>
          <m:t>r</m:t>
        </m:r>
        <m:r>
          <m:t>u</m:t>
        </m:r>
        <m:r>
          <m:t>n</m:t>
        </m:r>
        <m:r>
          <m:t>n</m:t>
        </m:r>
        <m:r>
          <m:t>i</m:t>
        </m:r>
        <m:r>
          <m:t>n</m:t>
        </m:r>
        <m:r>
          <m:t>g</m:t>
        </m:r>
        <m:r>
          <m:t>a</m:t>
        </m:r>
        <m:r>
          <m:t>t</m:t>
        </m:r>
        <m:r>
          <m:t>a</m:t>
        </m:r>
        <m:r>
          <m:t>n</m:t>
        </m:r>
        <m:r>
          <m:t>a</m:t>
        </m:r>
        <m:r>
          <m:t>n</m:t>
        </m:r>
        <m:r>
          <m:t>n</m:t>
        </m:r>
        <m:r>
          <m:t>u</m:t>
        </m:r>
        <m:r>
          <m:t>a</m:t>
        </m:r>
        <m:r>
          <m:t>l</m:t>
        </m:r>
        <m:r>
          <m:t>i</m:t>
        </m:r>
        <m:r>
          <m:t>z</m:t>
        </m:r>
        <m:r>
          <m:t>e</m:t>
        </m:r>
        <m:r>
          <m:t>d</m:t>
        </m:r>
        <m:r>
          <m:t>p</m:t>
        </m:r>
        <m:r>
          <m:t>a</m:t>
        </m:r>
        <m:r>
          <m:t>c</m:t>
        </m:r>
        <m:r>
          <m:t>e</m:t>
        </m:r>
        <m:r>
          <m:t>c</m:t>
        </m:r>
        <m:r>
          <m:t>l</m:t>
        </m:r>
        <m:r>
          <m:t>o</m:t>
        </m:r>
        <m:r>
          <m:t>s</m:t>
        </m:r>
        <m:r>
          <m:t>e</m:t>
        </m:r>
        <m:r>
          <m:t>r</m:t>
        </m:r>
        <m:r>
          <m:t>t</m:t>
        </m:r>
        <m:r>
          <m:t>o</m:t>
        </m:r>
        <m:r>
          <m:rPr>
            <m:sty m:val="p"/>
          </m:rPr>
          <m:t>*</m:t>
        </m:r>
        <m:r>
          <m:rPr>
            <m:sty m:val="p"/>
          </m:rPr>
          <m:t>*</m:t>
        </m:r>
      </m:oMath>
      <w:r>
        <w:rPr>
          <w:b/>
          <w:bCs/>
        </w:rPr>
        <w:t xml:space="preserve">130 million</w:t>
      </w:r>
      <w:r>
        <w:t xml:space="preserve">, having removed more than</w:t>
      </w:r>
      <w:r>
        <w:t xml:space="preserve"> </w:t>
      </w:r>
      <w:r>
        <w:rPr>
          <w:b/>
          <w:bCs/>
        </w:rPr>
        <w:t xml:space="preserve">$30 million in 1Q</w:t>
      </w:r>
      <w:r>
        <w:t xml:space="preserve">. This helped consolidated operating margin expand</w:t>
      </w:r>
      <w:r>
        <w:t xml:space="preserve"> </w:t>
      </w:r>
      <w:r>
        <w:rPr>
          <w:b/>
          <w:bCs/>
        </w:rPr>
        <w:t xml:space="preserve">70 basis points year over year</w:t>
      </w:r>
      <w:r>
        <w:t xml:space="preserve"> </w:t>
      </w:r>
      <w:r>
        <w:t xml:space="preserve">in 1Q to 6.8%, despite weather disruption, insurance and medical inflation, and pricing that management said had not yet fully covered core inflation.</w:t>
      </w:r>
    </w:p>
    <w:p>
      <w:pPr>
        <w:pStyle w:val="BodyText"/>
      </w:pPr>
      <w:r>
        <w:t xml:space="preserve">The quarter should clarify whether this productivity remains durable as volumes grow and hiring needs increase. Investors should distinguish between:</w:t>
      </w:r>
    </w:p>
    <w:p>
      <w:pPr>
        <w:pStyle w:val="Compact"/>
        <w:numPr>
          <w:ilvl w:val="0"/>
          <w:numId w:val="1005"/>
        </w:numPr>
      </w:pPr>
      <w:r>
        <w:rPr>
          <w:b/>
          <w:bCs/>
        </w:rPr>
        <w:t xml:space="preserve">Structural savings and productivity gains</w:t>
      </w:r>
      <w:r>
        <w:t xml:space="preserve"> </w:t>
      </w:r>
      <w:r>
        <w:t xml:space="preserve">— more durable;</w:t>
      </w:r>
    </w:p>
    <w:p>
      <w:pPr>
        <w:pStyle w:val="Compact"/>
        <w:numPr>
          <w:ilvl w:val="0"/>
          <w:numId w:val="1005"/>
        </w:numPr>
      </w:pPr>
      <w:r>
        <w:rPr>
          <w:b/>
          <w:bCs/>
        </w:rPr>
        <w:t xml:space="preserve">Lower equipment-related costs</w:t>
      </w:r>
      <w:r>
        <w:t xml:space="preserve"> </w:t>
      </w:r>
      <w:r>
        <w:t xml:space="preserve">— helpful but potentially cyclical;</w:t>
      </w:r>
    </w:p>
    <w:p>
      <w:pPr>
        <w:pStyle w:val="Compact"/>
        <w:numPr>
          <w:ilvl w:val="0"/>
          <w:numId w:val="1005"/>
        </w:numPr>
      </w:pPr>
      <w:r>
        <w:rPr>
          <w:b/>
          <w:bCs/>
        </w:rPr>
        <w:t xml:space="preserve">Incremental labor, insurance, medical, and purchased-transportation costs</w:t>
      </w:r>
      <w:r>
        <w:t xml:space="preserve"> </w:t>
      </w:r>
      <w:r>
        <w:t xml:space="preserve">— the key offsets.</w:t>
      </w:r>
    </w:p>
    <w:bookmarkEnd w:id="13"/>
    <w:bookmarkEnd w:id="14"/>
    <w:bookmarkStart w:id="15" w:name="why-the-2q25-comparison-is-favorable"/>
    <w:p>
      <w:pPr>
        <w:pStyle w:val="Heading2"/>
      </w:pPr>
      <w:r>
        <w:t xml:space="preserve">Why the 2Q25 comparison is favorable</w:t>
      </w:r>
    </w:p>
    <w:tbl>
      <w:tblPr>
        <w:tblStyle w:val="Table"/>
        <w:tblW w:type="auto" w:w="0"/>
        <w:tblLook w:firstRow="1" w:lastRow="0" w:firstColumn="0" w:lastColumn="0" w:noHBand="0" w:noVBand="0" w:val="0020"/>
      </w:tblPr>
      <w:tblGrid>
        <w:gridCol w:w="2640"/>
        <w:gridCol w:w="2640"/>
        <w:gridCol w:w="2640"/>
      </w:tblGrid>
      <w:tr>
        <w:trPr>
          <w:tblHeader w:val="on"/>
        </w:trPr>
        <w:tc>
          <w:tcPr/>
          <w:p>
            <w:pPr>
              <w:pStyle w:val="Compact"/>
            </w:pPr>
            <w:r>
              <w:t xml:space="preserve">Metric</w:t>
            </w:r>
          </w:p>
        </w:tc>
        <w:tc>
          <w:tcPr/>
          <w:p>
            <w:pPr>
              <w:pStyle w:val="Compact"/>
              <w:jc w:val="right"/>
            </w:pPr>
            <w:r>
              <w:t xml:space="preserve">2Q25 Actual</w:t>
            </w:r>
          </w:p>
        </w:tc>
        <w:tc>
          <w:tcPr/>
          <w:p>
            <w:pPr>
              <w:pStyle w:val="Compact"/>
            </w:pPr>
            <w:r>
              <w:t xml:space="preserve">Implication for 2Q26</w:t>
            </w:r>
          </w:p>
        </w:tc>
      </w:tr>
      <w:tr>
        <w:tc>
          <w:tcPr/>
          <w:p>
            <w:pPr>
              <w:pStyle w:val="Compact"/>
            </w:pPr>
            <w:r>
              <w:t xml:space="preserve">Revenue</w:t>
            </w:r>
          </w:p>
        </w:tc>
        <w:tc>
          <w:tcPr/>
          <w:p>
            <w:pPr>
              <w:pStyle w:val="Compact"/>
              <w:jc w:val="right"/>
            </w:pPr>
            <w:r>
              <w:t xml:space="preserve">$2.93B</w:t>
            </w:r>
          </w:p>
        </w:tc>
        <w:tc>
          <w:tcPr/>
          <w:p>
            <w:pPr>
              <w:pStyle w:val="Compact"/>
            </w:pPr>
            <w:r>
              <w:t xml:space="preserve">Low growth hurdle; fuel could affect reported revenue</w:t>
            </w:r>
          </w:p>
        </w:tc>
      </w:tr>
      <w:tr>
        <w:tc>
          <w:tcPr/>
          <w:p>
            <w:pPr>
              <w:pStyle w:val="Compact"/>
            </w:pPr>
            <w:r>
              <w:t xml:space="preserve">Operating income</w:t>
            </w:r>
          </w:p>
        </w:tc>
        <w:tc>
          <w:tcPr/>
          <w:p>
            <w:pPr>
              <w:pStyle w:val="Compact"/>
              <w:jc w:val="right"/>
            </w:pPr>
            <w:r>
              <w:t xml:space="preserve">$197.3M</w:t>
            </w:r>
          </w:p>
        </w:tc>
        <w:tc>
          <w:tcPr/>
          <w:p>
            <w:pPr>
              <w:pStyle w:val="Compact"/>
            </w:pPr>
            <w:r>
              <w:t xml:space="preserve">Easier base for improvement</w:t>
            </w:r>
          </w:p>
        </w:tc>
      </w:tr>
      <w:tr>
        <w:tc>
          <w:tcPr/>
          <w:p>
            <w:pPr>
              <w:pStyle w:val="Compact"/>
            </w:pPr>
            <w:r>
              <w:t xml:space="preserve">Operating margin</w:t>
            </w:r>
          </w:p>
        </w:tc>
        <w:tc>
          <w:tcPr/>
          <w:p>
            <w:pPr>
              <w:pStyle w:val="Compact"/>
              <w:jc w:val="right"/>
            </w:pPr>
            <w:r>
              <w:t xml:space="preserve">6.7%</w:t>
            </w:r>
          </w:p>
        </w:tc>
        <w:tc>
          <w:tcPr/>
          <w:p>
            <w:pPr>
              <w:pStyle w:val="Compact"/>
            </w:pPr>
            <w:r>
              <w:t xml:space="preserve">Margin expansion is the central earnings lever</w:t>
            </w:r>
          </w:p>
        </w:tc>
      </w:tr>
      <w:tr>
        <w:tc>
          <w:tcPr/>
          <w:p>
            <w:pPr>
              <w:pStyle w:val="Compact"/>
            </w:pPr>
            <w:r>
              <w:t xml:space="preserve">EPS</w:t>
            </w:r>
          </w:p>
        </w:tc>
        <w:tc>
          <w:tcPr/>
          <w:p>
            <w:pPr>
              <w:pStyle w:val="Compact"/>
              <w:jc w:val="right"/>
            </w:pPr>
            <w:r>
              <w:t xml:space="preserve">$1.31</w:t>
            </w:r>
          </w:p>
        </w:tc>
        <w:tc>
          <w:tcPr/>
          <w:p>
            <w:pPr>
              <w:pStyle w:val="Compact"/>
            </w:pPr>
            <w:r>
              <w:t xml:space="preserve">Clear year-over-year comparison point</w:t>
            </w:r>
          </w:p>
        </w:tc>
      </w:tr>
      <w:tr>
        <w:tc>
          <w:tcPr/>
          <w:p>
            <w:pPr>
              <w:pStyle w:val="Compact"/>
            </w:pPr>
            <w:r>
              <w:t xml:space="preserve">Intermodal OI</w:t>
            </w:r>
          </w:p>
        </w:tc>
        <w:tc>
          <w:tcPr/>
          <w:p>
            <w:pPr>
              <w:pStyle w:val="Compact"/>
              <w:jc w:val="right"/>
            </w:pPr>
            <w:r>
              <w:t xml:space="preserve">$95.7M</w:t>
            </w:r>
          </w:p>
        </w:tc>
        <w:tc>
          <w:tcPr/>
          <w:p>
            <w:pPr>
              <w:pStyle w:val="Compact"/>
            </w:pPr>
            <w:r>
              <w:t xml:space="preserve">1Q26 run-rate already exceeded this level</w:t>
            </w:r>
          </w:p>
        </w:tc>
      </w:tr>
      <w:tr>
        <w:tc>
          <w:tcPr/>
          <w:p>
            <w:pPr>
              <w:pStyle w:val="Compact"/>
            </w:pPr>
            <w:r>
              <w:t xml:space="preserve">Dedicated OI</w:t>
            </w:r>
          </w:p>
        </w:tc>
        <w:tc>
          <w:tcPr/>
          <w:p>
            <w:pPr>
              <w:pStyle w:val="Compact"/>
              <w:jc w:val="right"/>
            </w:pPr>
            <w:r>
              <w:t xml:space="preserve">$93.7M</w:t>
            </w:r>
          </w:p>
        </w:tc>
        <w:tc>
          <w:tcPr/>
          <w:p>
            <w:pPr>
              <w:pStyle w:val="Compact"/>
            </w:pPr>
            <w:r>
              <w:t xml:space="preserve">Resilient base, but new-business start-up costs matter</w:t>
            </w:r>
          </w:p>
        </w:tc>
      </w:tr>
      <w:tr>
        <w:tc>
          <w:tcPr/>
          <w:p>
            <w:pPr>
              <w:pStyle w:val="Compact"/>
            </w:pPr>
            <w:r>
              <w:t xml:space="preserve">ICS operating loss</w:t>
            </w:r>
          </w:p>
        </w:tc>
        <w:tc>
          <w:tcPr/>
          <w:p>
            <w:pPr>
              <w:pStyle w:val="Compact"/>
              <w:jc w:val="right"/>
            </w:pPr>
            <w:r>
              <w:t xml:space="preserve">$(3.6)M</w:t>
            </w:r>
          </w:p>
        </w:tc>
        <w:tc>
          <w:tcPr/>
          <w:p>
            <w:pPr>
              <w:pStyle w:val="Compact"/>
            </w:pPr>
            <w:r>
              <w:t xml:space="preserve">A return to breakeven would be a meaningful incremental positive</w:t>
            </w:r>
          </w:p>
        </w:tc>
      </w:tr>
    </w:tbl>
    <w:bookmarkEnd w:id="15"/>
    <w:bookmarkStart w:id="16" w:name="bull-case"/>
    <w:p>
      <w:pPr>
        <w:pStyle w:val="Heading2"/>
      </w:pPr>
      <w:r>
        <w:t xml:space="preserve">Bull case</w:t>
      </w:r>
    </w:p>
    <w:p>
      <w:pPr>
        <w:pStyle w:val="FirstParagraph"/>
      </w:pPr>
      <w:r>
        <w:t xml:space="preserve">A bullish report would feature:</w:t>
      </w:r>
    </w:p>
    <w:p>
      <w:pPr>
        <w:pStyle w:val="Compact"/>
        <w:numPr>
          <w:ilvl w:val="0"/>
          <w:numId w:val="1006"/>
        </w:numPr>
      </w:pPr>
      <w:r>
        <w:rPr>
          <w:b/>
          <w:bCs/>
        </w:rPr>
        <w:t xml:space="preserve">Sustained high-single-digit or better Intermodal volume growth</w:t>
      </w:r>
      <w:r>
        <w:t xml:space="preserve">, led by East-region road-to-rail conversion.</w:t>
      </w:r>
    </w:p>
    <w:p>
      <w:pPr>
        <w:pStyle w:val="Compact"/>
        <w:numPr>
          <w:ilvl w:val="0"/>
          <w:numId w:val="1006"/>
        </w:numPr>
      </w:pPr>
      <w:r>
        <w:rPr>
          <w:b/>
          <w:bCs/>
        </w:rPr>
        <w:t xml:space="preserve">Positive ex-fuel Intermodal pricing</w:t>
      </w:r>
      <w:r>
        <w:t xml:space="preserve">, with evidence that bid-season rate actions are sticking.</w:t>
      </w:r>
    </w:p>
    <w:p>
      <w:pPr>
        <w:pStyle w:val="Compact"/>
        <w:numPr>
          <w:ilvl w:val="0"/>
          <w:numId w:val="1006"/>
        </w:numPr>
      </w:pPr>
      <w:r>
        <w:rPr>
          <w:b/>
          <w:bCs/>
        </w:rPr>
        <w:t xml:space="preserve">Sequential gross-margin improvement in ICS</w:t>
      </w:r>
      <w:r>
        <w:t xml:space="preserve"> </w:t>
      </w:r>
      <w:r>
        <w:t xml:space="preserve">as contractual repricing catches carrier-cost inflation.</w:t>
      </w:r>
    </w:p>
    <w:p>
      <w:pPr>
        <w:pStyle w:val="Compact"/>
        <w:numPr>
          <w:ilvl w:val="0"/>
          <w:numId w:val="1006"/>
        </w:numPr>
      </w:pPr>
      <w:r>
        <w:rPr>
          <w:b/>
          <w:bCs/>
        </w:rPr>
        <w:t xml:space="preserve">Stronger JBT profitability</w:t>
      </w:r>
      <w:r>
        <w:t xml:space="preserve">, not just load growth.</w:t>
      </w:r>
    </w:p>
    <w:p>
      <w:pPr>
        <w:pStyle w:val="Compact"/>
        <w:numPr>
          <w:ilvl w:val="0"/>
          <w:numId w:val="1006"/>
        </w:numPr>
      </w:pPr>
      <w:r>
        <w:t xml:space="preserve">Continued cost-to-serve savings that drive company-wide operating leverage.</w:t>
      </w:r>
    </w:p>
    <w:p>
      <w:pPr>
        <w:pStyle w:val="Compact"/>
        <w:numPr>
          <w:ilvl w:val="0"/>
          <w:numId w:val="1006"/>
        </w:numPr>
      </w:pPr>
      <w:r>
        <w:t xml:space="preserve">Strong Dedicated truck-sales momentum and a pipeline that supports a more constructive 2027 growth outlook.</w:t>
      </w:r>
    </w:p>
    <w:p>
      <w:pPr>
        <w:pStyle w:val="FirstParagraph"/>
      </w:pPr>
      <w:r>
        <w:t xml:space="preserve">Under this outcome, investors would likely view 2Q as confirmation that JBHT can convert its service quality, capacity investments, and market-share gains into a multi-quarter margin-recovery cycle.</w:t>
      </w:r>
    </w:p>
    <w:bookmarkEnd w:id="16"/>
    <w:bookmarkStart w:id="17" w:name="bear-case"/>
    <w:p>
      <w:pPr>
        <w:pStyle w:val="Heading2"/>
      </w:pPr>
      <w:r>
        <w:t xml:space="preserve">Bear case</w:t>
      </w:r>
    </w:p>
    <w:p>
      <w:pPr>
        <w:pStyle w:val="FirstParagraph"/>
      </w:pPr>
      <w:r>
        <w:t xml:space="preserve">The risk is that the reported quarter looks healthy at the revenue level but disappoints beneath the surface:</w:t>
      </w:r>
    </w:p>
    <w:p>
      <w:pPr>
        <w:pStyle w:val="Compact"/>
        <w:numPr>
          <w:ilvl w:val="0"/>
          <w:numId w:val="1007"/>
        </w:numPr>
      </w:pPr>
      <w:r>
        <w:t xml:space="preserve">Intermodal volume remains good, but</w:t>
      </w:r>
      <w:r>
        <w:t xml:space="preserve"> </w:t>
      </w:r>
      <w:r>
        <w:rPr>
          <w:b/>
          <w:bCs/>
        </w:rPr>
        <w:t xml:space="preserve">transcon pricing stays weak</w:t>
      </w:r>
      <w:r>
        <w:t xml:space="preserve"> </w:t>
      </w:r>
      <w:r>
        <w:t xml:space="preserve">and ex-fuel yield remains negative.</w:t>
      </w:r>
    </w:p>
    <w:p>
      <w:pPr>
        <w:pStyle w:val="Compact"/>
        <w:numPr>
          <w:ilvl w:val="0"/>
          <w:numId w:val="1007"/>
        </w:numPr>
      </w:pPr>
      <w:r>
        <w:t xml:space="preserve">Brokerage and Truckload customer pricing fails to catch up with higher carrier costs, extending margin compression.</w:t>
      </w:r>
    </w:p>
    <w:p>
      <w:pPr>
        <w:pStyle w:val="Compact"/>
        <w:numPr>
          <w:ilvl w:val="0"/>
          <w:numId w:val="1007"/>
        </w:numPr>
      </w:pPr>
      <w:r>
        <w:t xml:space="preserve">Driver recruiting, insurance, medical costs, or fuel-related disruption pressure cost performance.</w:t>
      </w:r>
    </w:p>
    <w:p>
      <w:pPr>
        <w:pStyle w:val="Compact"/>
        <w:numPr>
          <w:ilvl w:val="0"/>
          <w:numId w:val="1007"/>
        </w:numPr>
      </w:pPr>
      <w:r>
        <w:t xml:space="preserve">Dedicated sales accelerate but create more near-term start-up expense than investors expect.</w:t>
      </w:r>
    </w:p>
    <w:p>
      <w:pPr>
        <w:pStyle w:val="Compact"/>
        <w:numPr>
          <w:ilvl w:val="0"/>
          <w:numId w:val="1007"/>
        </w:numPr>
      </w:pPr>
      <w:r>
        <w:t xml:space="preserve">Management’s second-half commentary implies a slower or less broad pricing recovery than the market has embedded after the stock’s rally.</w:t>
      </w:r>
    </w:p>
    <w:bookmarkEnd w:id="17"/>
    <w:bookmarkStart w:id="18" w:name="key-questions-for-the-call"/>
    <w:p>
      <w:pPr>
        <w:pStyle w:val="Heading2"/>
      </w:pPr>
      <w:r>
        <w:t xml:space="preserve">Key questions for the call</w:t>
      </w:r>
    </w:p>
    <w:p>
      <w:pPr>
        <w:pStyle w:val="Compact"/>
        <w:numPr>
          <w:ilvl w:val="0"/>
          <w:numId w:val="1008"/>
        </w:numPr>
      </w:pPr>
      <w:r>
        <w:rPr>
          <w:b/>
          <w:bCs/>
        </w:rPr>
        <w:t xml:space="preserve">Intermodal pricing:</w:t>
      </w:r>
      <w:r>
        <w:t xml:space="preserve"> </w:t>
      </w:r>
      <w:r>
        <w:t xml:space="preserve">Has ex-fuel revenue per load turned positive, and how do Eastern and transcon trends differ?</w:t>
      </w:r>
    </w:p>
    <w:p>
      <w:pPr>
        <w:pStyle w:val="Compact"/>
        <w:numPr>
          <w:ilvl w:val="0"/>
          <w:numId w:val="1008"/>
        </w:numPr>
      </w:pPr>
      <w:r>
        <w:rPr>
          <w:b/>
          <w:bCs/>
        </w:rPr>
        <w:t xml:space="preserve">Bid season:</w:t>
      </w:r>
      <w:r>
        <w:t xml:space="preserve"> </w:t>
      </w:r>
      <w:r>
        <w:t xml:space="preserve">What proportion of annual bids has reset, and is pricing now exceeding underlying inflation?</w:t>
      </w:r>
    </w:p>
    <w:p>
      <w:pPr>
        <w:pStyle w:val="Compact"/>
        <w:numPr>
          <w:ilvl w:val="0"/>
          <w:numId w:val="1008"/>
        </w:numPr>
      </w:pPr>
      <w:r>
        <w:rPr>
          <w:b/>
          <w:bCs/>
        </w:rPr>
        <w:t xml:space="preserve">ICS profitability:</w:t>
      </w:r>
      <w:r>
        <w:t xml:space="preserve"> </w:t>
      </w:r>
      <w:r>
        <w:t xml:space="preserve">When does management expect purchased transportation costs to normalize relative to customer pricing?</w:t>
      </w:r>
    </w:p>
    <w:p>
      <w:pPr>
        <w:pStyle w:val="Compact"/>
        <w:numPr>
          <w:ilvl w:val="0"/>
          <w:numId w:val="1008"/>
        </w:numPr>
      </w:pPr>
      <w:r>
        <w:rPr>
          <w:b/>
          <w:bCs/>
        </w:rPr>
        <w:t xml:space="preserve">JBT economics:</w:t>
      </w:r>
      <w:r>
        <w:t xml:space="preserve"> </w:t>
      </w:r>
      <w:r>
        <w:t xml:space="preserve">Are load growth and improved trailer turns now producing gross-profit-dollar growth?</w:t>
      </w:r>
    </w:p>
    <w:p>
      <w:pPr>
        <w:pStyle w:val="Compact"/>
        <w:numPr>
          <w:ilvl w:val="0"/>
          <w:numId w:val="1008"/>
        </w:numPr>
      </w:pPr>
      <w:r>
        <w:rPr>
          <w:b/>
          <w:bCs/>
        </w:rPr>
        <w:t xml:space="preserve">Dedicated pipeline:</w:t>
      </w:r>
      <w:r>
        <w:t xml:space="preserve"> </w:t>
      </w:r>
      <w:r>
        <w:t xml:space="preserve">What were net truck additions in 2Q, and how should investors think about start-up costs through year-end?</w:t>
      </w:r>
    </w:p>
    <w:p>
      <w:pPr>
        <w:pStyle w:val="Compact"/>
        <w:numPr>
          <w:ilvl w:val="0"/>
          <w:numId w:val="1008"/>
        </w:numPr>
      </w:pPr>
      <w:r>
        <w:rPr>
          <w:b/>
          <w:bCs/>
        </w:rPr>
        <w:t xml:space="preserve">Cost program:</w:t>
      </w:r>
      <w:r>
        <w:t xml:space="preserve"> </w:t>
      </w:r>
      <w:r>
        <w:t xml:space="preserve">Is the annualized pace of structural savings still at or above the approximately $130 million level discussed in 1Q?</w:t>
      </w:r>
    </w:p>
    <w:p>
      <w:pPr>
        <w:pStyle w:val="Compact"/>
        <w:numPr>
          <w:ilvl w:val="0"/>
          <w:numId w:val="1008"/>
        </w:numPr>
      </w:pPr>
      <w:r>
        <w:rPr>
          <w:b/>
          <w:bCs/>
        </w:rPr>
        <w:t xml:space="preserve">Capex and capital return:</w:t>
      </w:r>
      <w:r>
        <w:t xml:space="preserve"> </w:t>
      </w:r>
      <w:r>
        <w:t xml:space="preserve">Does the company still expect</w:t>
      </w:r>
      <w:r>
        <w:t xml:space="preserve"> </w:t>
      </w:r>
      <w:r>
        <w:rPr>
          <w:b/>
          <w:bCs/>
        </w:rPr>
        <w:t xml:space="preserve">$600–800 million</w:t>
      </w:r>
      <w:r>
        <w:t xml:space="preserve"> </w:t>
      </w:r>
      <w:r>
        <w:t xml:space="preserve">of 2026 net capital expenditures, and how will Dedicated wins affect the final number?</w:t>
      </w:r>
    </w:p>
    <w:p>
      <w:pPr>
        <w:pStyle w:val="Compact"/>
        <w:numPr>
          <w:ilvl w:val="0"/>
          <w:numId w:val="1008"/>
        </w:numPr>
      </w:pPr>
      <w:r>
        <w:rPr>
          <w:b/>
          <w:bCs/>
        </w:rPr>
        <w:t xml:space="preserve">Demand versus capacity:</w:t>
      </w:r>
      <w:r>
        <w:t xml:space="preserve"> </w:t>
      </w:r>
      <w:r>
        <w:t xml:space="preserve">Has demand improved beyond the capacity-led recovery described in April, or is the market still primarily supply constrained?</w:t>
      </w:r>
    </w:p>
    <w:bookmarkEnd w:id="18"/>
    <w:bookmarkStart w:id="19" w:name="bottom-line"/>
    <w:p>
      <w:pPr>
        <w:pStyle w:val="Heading2"/>
      </w:pPr>
      <w:r>
        <w:t xml:space="preserve">Bottom line</w:t>
      </w:r>
    </w:p>
    <w:p>
      <w:pPr>
        <w:pStyle w:val="FirstParagraph"/>
      </w:pPr>
      <w:r>
        <w:t xml:space="preserve">JBHT’s 2Q report is a test of</w:t>
      </w:r>
      <w:r>
        <w:t xml:space="preserve"> </w:t>
      </w:r>
      <w:r>
        <w:rPr>
          <w:b/>
          <w:bCs/>
        </w:rPr>
        <w:t xml:space="preserve">quality of earnings rather than top-line momentum</w:t>
      </w:r>
      <w:r>
        <w:t xml:space="preserve">. The company has already shown it can grow share, improve productivity, and expand margins modestly before a full pricing recovery. For the stock to work from current levels, investors will likely need confirmation that this operating momentum is now becoming a more powerful earnings cycle:</w:t>
      </w:r>
      <w:r>
        <w:t xml:space="preserve"> </w:t>
      </w:r>
      <w:r>
        <w:rPr>
          <w:b/>
          <w:bCs/>
        </w:rPr>
        <w:t xml:space="preserve">Intermodal yield turns, brokerage margins bottom, and the company’s cost discipline allows incremental revenue to convert into materially higher operating income.</w:t>
      </w:r>
    </w:p>
    <w:p>
      <w:pPr>
        <w:pStyle w:val="BodyText"/>
      </w:pPr>
      <w:r>
        <w:rPr>
          <w:i/>
          <w:iCs/>
        </w:rPr>
        <w:t xml:space="preserve">Sources: J.B. Hunt 1Q26 earnings release and conference call; J.B. Hunt 2Q25 earnings release; company’s July 1, 2026 earnings-date announcement; historical closing-price data through July 14, 2026.</w:t>
      </w:r>
    </w:p>
    <w:bookmarkEnd w:id="19"/>
    <w:bookmarkEnd w:id="20"/>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2026-07-15T00:35:39Z</dcterms:created>
  <dcterms:modified xsi:type="dcterms:W3CDTF">2026-07-15T00:35:39Z</dcterms:modified>
</cp:coreProperties>
</file>

<file path=docProps/custom.xml><?xml version="1.0" encoding="utf-8"?>
<Properties xmlns="http://schemas.openxmlformats.org/officeDocument/2006/custom-properties" xmlns:vt="http://schemas.openxmlformats.org/officeDocument/2006/docPropsVTypes"/>
</file>