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J.B. Hunt Transport Services (JBHT)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J.B. Hunt Transport Services, Inc.</w:t>
            </w:r>
          </w:p>
        </w:tc>
      </w:tr>
      <w:tr>
        <w:tc>
          <w:tcPr>
            <w:tcW w:type="dxa" w:w="4320"/>
          </w:tcPr>
          <w:p>
            <w:r>
              <w:rPr>
                <w:rFonts w:ascii="Calibri" w:hAnsi="Calibri"/>
                <w:b/>
                <w:sz w:val="22"/>
              </w:rPr>
              <w:t>Ticker</w:t>
            </w:r>
          </w:p>
        </w:tc>
        <w:tc>
          <w:tcPr>
            <w:tcW w:type="dxa" w:w="4320"/>
          </w:tcPr>
          <w:p>
            <w:r>
              <w:rPr>
                <w:rFonts w:ascii="Calibri" w:hAnsi="Calibri"/>
                <w:sz w:val="22"/>
              </w:rPr>
              <w:t>NASDAQ: JBHT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15, 2026 — After Market Close (Conference Call 5:00 PM ET)</w:t>
            </w:r>
          </w:p>
        </w:tc>
      </w:tr>
      <w:tr>
        <w:tc>
          <w:tcPr>
            <w:tcW w:type="dxa" w:w="4320"/>
          </w:tcPr>
          <w:p>
            <w:r>
              <w:rPr>
                <w:rFonts w:ascii="Calibri" w:hAnsi="Calibri"/>
                <w:b/>
                <w:sz w:val="22"/>
              </w:rPr>
              <w:t>Prepared</w:t>
            </w:r>
          </w:p>
        </w:tc>
        <w:tc>
          <w:tcPr>
            <w:tcW w:type="dxa" w:w="4320"/>
          </w:tcPr>
          <w:p>
            <w:r>
              <w:rPr>
                <w:rFonts w:ascii="Calibri" w:hAnsi="Calibri"/>
                <w:sz w:val="22"/>
              </w:rPr>
              <w:t>July 14, 2026</w:t>
            </w:r>
          </w:p>
        </w:tc>
      </w:tr>
      <w:tr>
        <w:tc>
          <w:tcPr>
            <w:tcW w:type="dxa" w:w="4320"/>
          </w:tcPr>
          <w:p>
            <w:r>
              <w:rPr>
                <w:rFonts w:ascii="Calibri" w:hAnsi="Calibri"/>
                <w:b/>
                <w:sz w:val="22"/>
              </w:rPr>
              <w:t>Last Reported</w:t>
            </w:r>
          </w:p>
        </w:tc>
        <w:tc>
          <w:tcPr>
            <w:tcW w:type="dxa" w:w="4320"/>
          </w:tcPr>
          <w:p>
            <w:r>
              <w:rPr>
                <w:rFonts w:ascii="Calibri" w:hAnsi="Calibri"/>
                <w:sz w:val="22"/>
              </w:rPr>
              <w:t>Q1 2026 — April 15, 2026 (Beat on EPS; revenue in line)</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without risk — </w:t>
      </w:r>
      <w:r>
        <w:rPr>
          <w:rFonts w:ascii="Calibri" w:hAnsi="Calibri"/>
          <w:b/>
          <w:color w:val="525866"/>
          <w:sz w:val="22"/>
        </w:rPr>
        <w:t>the biggest swing factor is whether intermodal pricing inflects positively</w:t>
      </w:r>
      <w:r>
        <w:rPr>
          <w:rFonts w:ascii="Calibri" w:hAnsi="Calibri"/>
          <w:color w:val="525866"/>
          <w:sz w:val="22"/>
        </w:rPr>
        <w:t xml:space="preserve"> as routing guide breakdowns and mini-bid escalation signal a tightening freight market that has yet to fully show up in JBHT’s revenue per load.</w:t>
      </w:r>
    </w:p>
    <w:p>
      <w:r>
        <w:rPr>
          <w:rFonts w:ascii="Calibri" w:hAnsi="Calibri"/>
          <w:color w:val="525866"/>
          <w:sz w:val="22"/>
        </w:rPr>
        <w:t xml:space="preserve">Heading into the Q2 2026 print, the bar for JBHT is moderate: consensus expects operating EPS of $1.72 vs. $1.31 in Q2 2025, implying roughly 31% year-over-year growth, driven by continued cost-to-serve execution and a freight market that has been tightening meaningfully since March. </w:t>
      </w:r>
      <w:r>
        <w:rPr>
          <w:rFonts w:ascii="Calibri" w:hAnsi="Calibri"/>
          <w:b/>
          <w:color w:val="525866"/>
          <w:sz w:val="22"/>
        </w:rPr>
        <w:t>Management’s tone has shifted more constructive since the April 15 Q1 call</w:t>
      </w:r>
      <w:r>
        <w:rPr>
          <w:rFonts w:ascii="Calibri" w:hAnsi="Calibri"/>
          <w:color w:val="525866"/>
          <w:sz w:val="22"/>
        </w:rPr>
        <w:t xml:space="preserve"> — the cost savings run rate is tracking well above the original $100M annualized target, and real-time indicators like SONAR tender rejections (~18% in late May/early June, levels not seen since 2021) and accelerating mini-bid activity point to a market that is tightening faster than consensus models. Estimate revisions have moved higher since Q1 earnings — the stock has rallied ~25% since the April 15 print to ~$281, meaningfully outperforming both the IYT transport ETF (+11%) and the S&amp;P 500 (+7%) — suggesting the market has already priced in a solid quarter, leaving less room for upside surprise on the headline. </w:t>
      </w:r>
      <w:r>
        <w:rPr>
          <w:rFonts w:ascii="Calibri" w:hAnsi="Calibri"/>
          <w:b/>
          <w:color w:val="525866"/>
          <w:sz w:val="22"/>
        </w:rPr>
        <w:t>The wildcard is intermodal pricing</w:t>
      </w:r>
      <w:r>
        <w:rPr>
          <w:rFonts w:ascii="Calibri" w:hAnsi="Calibri"/>
          <w:color w:val="525866"/>
          <w:sz w:val="22"/>
        </w:rPr>
        <w:t>: Union Pacific’s volume incentive programs to shippers (bypassing IMCs) have suppressed TransCon headhaul pricing, and if revenue per load fails to inflect toward the $2,893 consensus estimate, the stock could give back some of its post-Q1 gains despite solid cost execution. Conversely, any signal that the July 2026 bid cycle is repricing materially higher could be the catalyst for the next leg up.</w:t>
      </w:r>
    </w:p>
    <w:p>
      <w:r>
        <w:rPr>
          <w:rFonts w:ascii="Calibri" w:hAnsi="Calibri"/>
          <w:b/>
          <w:color w:val="525866"/>
          <w:sz w:val="22"/>
        </w:rPr>
        <w:t xml:space="preserve">Bar: </w:t>
      </w:r>
      <w:r>
        <w:rPr>
          <w:rFonts w:ascii="Calibri" w:hAnsi="Calibri"/>
          <w:color w:val="525866"/>
          <w:sz w:val="22"/>
        </w:rPr>
        <w:t>Consensus operating EPS of $1.72 represents a ~31% YoY improvement vs. $1.31 in Q2 2025 — a moderately high bar given the stock’s 25% post-Q1 run, but supported by real-time freight tightening signals.</w:t>
      </w:r>
    </w:p>
    <w:p>
      <w:r>
        <w:rPr>
          <w:rFonts w:ascii="Calibri" w:hAnsi="Calibri"/>
          <w:b/>
          <w:color w:val="525866"/>
          <w:sz w:val="22"/>
        </w:rPr>
        <w:t xml:space="preserve">Guidance/Tone: </w:t>
      </w:r>
      <w:r>
        <w:rPr>
          <w:rFonts w:ascii="Calibri" w:hAnsi="Calibri"/>
          <w:color w:val="525866"/>
          <w:sz w:val="22"/>
        </w:rPr>
        <w:t>Management has grown more confident since Q1 — cost savings are running ahead of plan, the Dedicated pipeline hit record monthly pricing volumes in March, and routing guide breakdowns are accelerating. No formal Q2 guidance was issued, but the directional commentary was clearly more bullish.</w:t>
      </w:r>
    </w:p>
    <w:p>
      <w:r>
        <w:rPr>
          <w:rFonts w:ascii="Calibri" w:hAnsi="Calibri"/>
          <w:b/>
          <w:color w:val="525866"/>
          <w:sz w:val="22"/>
        </w:rPr>
        <w:t xml:space="preserve">Estimate Trajectory: </w:t>
      </w:r>
      <w:r>
        <w:rPr>
          <w:rFonts w:ascii="Calibri" w:hAnsi="Calibri"/>
          <w:color w:val="525866"/>
          <w:sz w:val="22"/>
        </w:rPr>
        <w:t>Revisions have moved higher post-Q1 earnings, with Q2 2026 operating EPS consensus rising from ~$1.44 (Q1 2026 consensus) to $1.72 currently. The gap between cost execution visibility and pricing uncertainty represents the key risk/cushion dynamic.</w:t>
      </w:r>
    </w:p>
    <w:p>
      <w:r>
        <w:rPr>
          <w:rFonts w:ascii="Calibri" w:hAnsi="Calibri"/>
          <w:b/>
          <w:color w:val="525866"/>
          <w:sz w:val="22"/>
        </w:rPr>
        <w:t xml:space="preserve">Stock Setup: </w:t>
      </w:r>
      <w:r>
        <w:rPr>
          <w:rFonts w:ascii="Calibri" w:hAnsi="Calibri"/>
          <w:color w:val="525866"/>
          <w:sz w:val="22"/>
        </w:rPr>
        <w:t>JBHT has rallied from $224 on April 15 to ~$281 today (+25.3%), well ahead of IYT (+10.9%) and SPY (+7.4%). The stock is trading near the high end of analyst price targets, suggesting a beat is partially priced in.</w:t>
      </w:r>
    </w:p>
    <w:p>
      <w:r>
        <w:rPr>
          <w:rFonts w:ascii="Calibri" w:hAnsi="Calibri"/>
          <w:b/>
          <w:color w:val="525866"/>
          <w:sz w:val="22"/>
        </w:rPr>
        <w:t xml:space="preserve">Wildcard: </w:t>
      </w:r>
      <w:r>
        <w:rPr>
          <w:rFonts w:ascii="Calibri" w:hAnsi="Calibri"/>
          <w:color w:val="525866"/>
          <w:sz w:val="22"/>
        </w:rPr>
        <w:t>Intermodal revenue per load (consensus: $2,894) and the tone around the July 2026 bid cycle repricing. UP’s volume incentive programs have been an unusual competitive dynamic suppressing TransCon pricing — any update on how this resolves will be closely watched.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moderately high bar on EPS (+31% YoY) but a more achievable bar on intermodal volumes (+6% YoY); </w:t>
      </w:r>
      <w:r>
        <w:rPr>
          <w:rFonts w:ascii="Calibri" w:hAnsi="Calibri"/>
          <w:b/>
          <w:color w:val="525866"/>
          <w:sz w:val="22"/>
        </w:rPr>
        <w:t>intermodal revenue per load ($2,894 consensus vs. $2,803 in Q1 2026) is the bigger swing factor</w:t>
      </w:r>
      <w:r>
        <w:rPr>
          <w:rFonts w:ascii="Calibri" w:hAnsi="Calibri"/>
          <w:color w:val="525866"/>
          <w:sz w:val="22"/>
        </w:rPr>
        <w:t xml:space="preserve"> — any pricing inflection above consensus would be a meaningful positive surprise given the UP competitive dynamic.</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$3.056B</w:t>
            </w:r>
          </w:p>
        </w:tc>
        <w:tc>
          <w:tcPr>
            <w:tcW w:type="dxa" w:w="1234"/>
          </w:tcPr>
          <w:p>
            <w:r>
              <w:rPr>
                <w:rFonts w:ascii="Calibri" w:hAnsi="Calibri"/>
                <w:sz w:val="22"/>
              </w:rPr>
              <w:t>$2.928B</w:t>
            </w:r>
          </w:p>
        </w:tc>
        <w:tc>
          <w:tcPr>
            <w:tcW w:type="dxa" w:w="1234"/>
          </w:tcPr>
          <w:p>
            <w:r>
              <w:rPr>
                <w:rFonts w:ascii="Calibri" w:hAnsi="Calibri"/>
                <w:sz w:val="22"/>
              </w:rPr>
              <w:t>$3.249B</w:t>
            </w:r>
          </w:p>
        </w:tc>
        <w:tc>
          <w:tcPr>
            <w:tcW w:type="dxa" w:w="1234"/>
          </w:tcPr>
          <w:p>
            <w:r>
              <w:rPr>
                <w:rFonts w:ascii="Calibri" w:hAnsi="Calibri"/>
                <w:b/>
                <w:color w:val="30A46C"/>
                <w:sz w:val="22"/>
              </w:rPr>
              <w:t>+11.0%</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Operating EPS (Diluted, Adj.)</w:t>
            </w:r>
          </w:p>
        </w:tc>
        <w:tc>
          <w:tcPr>
            <w:tcW w:type="dxa" w:w="1234"/>
          </w:tcPr>
          <w:p>
            <w:r>
              <w:rPr>
                <w:rFonts w:ascii="Calibri" w:hAnsi="Calibri"/>
                <w:sz w:val="22"/>
              </w:rPr>
              <w:t>$1.487</w:t>
            </w:r>
          </w:p>
        </w:tc>
        <w:tc>
          <w:tcPr>
            <w:tcW w:type="dxa" w:w="1234"/>
          </w:tcPr>
          <w:p>
            <w:r>
              <w:rPr>
                <w:rFonts w:ascii="Calibri" w:hAnsi="Calibri"/>
                <w:sz w:val="22"/>
              </w:rPr>
              <w:t>$1.313</w:t>
            </w:r>
          </w:p>
        </w:tc>
        <w:tc>
          <w:tcPr>
            <w:tcW w:type="dxa" w:w="1234"/>
          </w:tcPr>
          <w:p>
            <w:r>
              <w:rPr>
                <w:rFonts w:ascii="Calibri" w:hAnsi="Calibri"/>
                <w:sz w:val="22"/>
              </w:rPr>
              <w:t>$1.721</w:t>
            </w:r>
          </w:p>
        </w:tc>
        <w:tc>
          <w:tcPr>
            <w:tcW w:type="dxa" w:w="1234"/>
          </w:tcPr>
          <w:p>
            <w:r>
              <w:rPr>
                <w:rFonts w:ascii="Calibri" w:hAnsi="Calibri"/>
                <w:b/>
                <w:color w:val="30A46C"/>
                <w:sz w:val="22"/>
              </w:rPr>
              <w:t>+31.1%</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Operating Income ($M, Adj.)</w:t>
            </w:r>
          </w:p>
        </w:tc>
        <w:tc>
          <w:tcPr>
            <w:tcW w:type="dxa" w:w="1234"/>
          </w:tcPr>
          <w:p>
            <w:r>
              <w:rPr>
                <w:rFonts w:ascii="Calibri" w:hAnsi="Calibri"/>
                <w:sz w:val="22"/>
              </w:rPr>
              <w:t>$207.0M</w:t>
            </w:r>
          </w:p>
        </w:tc>
        <w:tc>
          <w:tcPr>
            <w:tcW w:type="dxa" w:w="1234"/>
          </w:tcPr>
          <w:p>
            <w:r>
              <w:rPr>
                <w:rFonts w:ascii="Calibri" w:hAnsi="Calibri"/>
                <w:sz w:val="22"/>
              </w:rPr>
              <w:t>$197.3M</w:t>
            </w:r>
          </w:p>
        </w:tc>
        <w:tc>
          <w:tcPr>
            <w:tcW w:type="dxa" w:w="1234"/>
          </w:tcPr>
          <w:p>
            <w:r>
              <w:rPr>
                <w:rFonts w:ascii="Calibri" w:hAnsi="Calibri"/>
                <w:sz w:val="22"/>
              </w:rPr>
              <w:t>$240.6M</w:t>
            </w:r>
          </w:p>
        </w:tc>
        <w:tc>
          <w:tcPr>
            <w:tcW w:type="dxa" w:w="1234"/>
          </w:tcPr>
          <w:p>
            <w:r>
              <w:rPr>
                <w:rFonts w:ascii="Calibri" w:hAnsi="Calibri"/>
                <w:b/>
                <w:color w:val="30A46C"/>
                <w:sz w:val="22"/>
              </w:rPr>
              <w:t>+21.9%</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Operating Margin (Adj.)</w:t>
            </w:r>
          </w:p>
        </w:tc>
        <w:tc>
          <w:tcPr>
            <w:tcW w:type="dxa" w:w="1234"/>
          </w:tcPr>
          <w:p>
            <w:r>
              <w:rPr>
                <w:rFonts w:ascii="Calibri" w:hAnsi="Calibri"/>
                <w:sz w:val="22"/>
              </w:rPr>
              <w:t>6.77%</w:t>
            </w:r>
          </w:p>
        </w:tc>
        <w:tc>
          <w:tcPr>
            <w:tcW w:type="dxa" w:w="1234"/>
          </w:tcPr>
          <w:p>
            <w:r>
              <w:rPr>
                <w:rFonts w:ascii="Calibri" w:hAnsi="Calibri"/>
                <w:sz w:val="22"/>
              </w:rPr>
              <w:t>6.74%</w:t>
            </w:r>
          </w:p>
        </w:tc>
        <w:tc>
          <w:tcPr>
            <w:tcW w:type="dxa" w:w="1234"/>
          </w:tcPr>
          <w:p>
            <w:r>
              <w:rPr>
                <w:rFonts w:ascii="Calibri" w:hAnsi="Calibri"/>
                <w:sz w:val="22"/>
              </w:rPr>
              <w:t>7.32%</w:t>
            </w:r>
          </w:p>
        </w:tc>
        <w:tc>
          <w:tcPr>
            <w:tcW w:type="dxa" w:w="1234"/>
          </w:tcPr>
          <w:p>
            <w:r>
              <w:rPr>
                <w:rFonts w:ascii="Calibri" w:hAnsi="Calibri"/>
                <w:b/>
                <w:color w:val="30A46C"/>
                <w:sz w:val="22"/>
              </w:rPr>
              <w:t>+58 bps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Intermodal Revenue ($B)</w:t>
            </w:r>
          </w:p>
        </w:tc>
        <w:tc>
          <w:tcPr>
            <w:tcW w:type="dxa" w:w="1234"/>
          </w:tcPr>
          <w:p>
            <w:r>
              <w:rPr>
                <w:rFonts w:ascii="Calibri" w:hAnsi="Calibri"/>
                <w:sz w:val="22"/>
              </w:rPr>
              <w:t>$1.505B</w:t>
            </w:r>
          </w:p>
        </w:tc>
        <w:tc>
          <w:tcPr>
            <w:tcW w:type="dxa" w:w="1234"/>
          </w:tcPr>
          <w:p>
            <w:r>
              <w:rPr>
                <w:rFonts w:ascii="Calibri" w:hAnsi="Calibri"/>
                <w:sz w:val="22"/>
              </w:rPr>
              <w:t>$1.438B</w:t>
            </w:r>
          </w:p>
        </w:tc>
        <w:tc>
          <w:tcPr>
            <w:tcW w:type="dxa" w:w="1234"/>
          </w:tcPr>
          <w:p>
            <w:r>
              <w:rPr>
                <w:rFonts w:ascii="Calibri" w:hAnsi="Calibri"/>
                <w:sz w:val="22"/>
              </w:rPr>
              <w:t>$1.613B</w:t>
            </w:r>
          </w:p>
        </w:tc>
        <w:tc>
          <w:tcPr>
            <w:tcW w:type="dxa" w:w="1234"/>
          </w:tcPr>
          <w:p>
            <w:r>
              <w:rPr>
                <w:rFonts w:ascii="Calibri" w:hAnsi="Calibri"/>
                <w:b/>
                <w:color w:val="30A46C"/>
                <w:sz w:val="22"/>
              </w:rPr>
              <w:t>+12.2%</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Intermodal Loads (K)</w:t>
            </w:r>
          </w:p>
        </w:tc>
        <w:tc>
          <w:tcPr>
            <w:tcW w:type="dxa" w:w="1234"/>
          </w:tcPr>
          <w:p>
            <w:r>
              <w:rPr>
                <w:rFonts w:ascii="Calibri" w:hAnsi="Calibri"/>
                <w:sz w:val="22"/>
              </w:rPr>
              <w:t>536.9K</w:t>
            </w:r>
          </w:p>
        </w:tc>
        <w:tc>
          <w:tcPr>
            <w:tcW w:type="dxa" w:w="1234"/>
          </w:tcPr>
          <w:p>
            <w:r>
              <w:rPr>
                <w:rFonts w:ascii="Calibri" w:hAnsi="Calibri"/>
                <w:sz w:val="22"/>
              </w:rPr>
              <w:t>525.2K</w:t>
            </w:r>
          </w:p>
        </w:tc>
        <w:tc>
          <w:tcPr>
            <w:tcW w:type="dxa" w:w="1234"/>
          </w:tcPr>
          <w:p>
            <w:r>
              <w:rPr>
                <w:rFonts w:ascii="Calibri" w:hAnsi="Calibri"/>
                <w:sz w:val="22"/>
              </w:rPr>
              <w:t>557.1K</w:t>
            </w:r>
          </w:p>
        </w:tc>
        <w:tc>
          <w:tcPr>
            <w:tcW w:type="dxa" w:w="1234"/>
          </w:tcPr>
          <w:p>
            <w:r>
              <w:rPr>
                <w:rFonts w:ascii="Calibri" w:hAnsi="Calibri"/>
                <w:b/>
                <w:color w:val="30A46C"/>
                <w:sz w:val="22"/>
              </w:rPr>
              <w:t>+6.1%</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Intermodal Rev/Load (ex-fuel)</w:t>
            </w:r>
          </w:p>
        </w:tc>
        <w:tc>
          <w:tcPr>
            <w:tcW w:type="dxa" w:w="1234"/>
          </w:tcPr>
          <w:p>
            <w:r>
              <w:rPr>
                <w:rFonts w:ascii="Calibri" w:hAnsi="Calibri"/>
                <w:sz w:val="22"/>
              </w:rPr>
              <w:t>$2,803</w:t>
            </w:r>
          </w:p>
        </w:tc>
        <w:tc>
          <w:tcPr>
            <w:tcW w:type="dxa" w:w="1234"/>
          </w:tcPr>
          <w:p>
            <w:r>
              <w:rPr>
                <w:rFonts w:ascii="Calibri" w:hAnsi="Calibri"/>
                <w:sz w:val="22"/>
              </w:rPr>
              <w:t>$2,738</w:t>
            </w:r>
          </w:p>
        </w:tc>
        <w:tc>
          <w:tcPr>
            <w:tcW w:type="dxa" w:w="1234"/>
          </w:tcPr>
          <w:p>
            <w:r>
              <w:rPr>
                <w:rFonts w:ascii="Calibri" w:hAnsi="Calibri"/>
                <w:sz w:val="22"/>
              </w:rPr>
              <w:t>$2,894</w:t>
            </w:r>
          </w:p>
        </w:tc>
        <w:tc>
          <w:tcPr>
            <w:tcW w:type="dxa" w:w="1234"/>
          </w:tcPr>
          <w:p>
            <w:r>
              <w:rPr>
                <w:rFonts w:ascii="Calibri" w:hAnsi="Calibri"/>
                <w:b/>
                <w:color w:val="30A46C"/>
                <w:sz w:val="22"/>
              </w:rPr>
              <w:t>+5.7%</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Intermodal Op. Margin (Adj.)</w:t>
            </w:r>
          </w:p>
        </w:tc>
        <w:tc>
          <w:tcPr>
            <w:tcW w:type="dxa" w:w="1234"/>
          </w:tcPr>
          <w:p>
            <w:r>
              <w:rPr>
                <w:rFonts w:ascii="Calibri" w:hAnsi="Calibri"/>
                <w:sz w:val="22"/>
              </w:rPr>
              <w:t>7.61%</w:t>
            </w:r>
          </w:p>
        </w:tc>
        <w:tc>
          <w:tcPr>
            <w:tcW w:type="dxa" w:w="1234"/>
          </w:tcPr>
          <w:p>
            <w:r>
              <w:rPr>
                <w:rFonts w:ascii="Calibri" w:hAnsi="Calibri"/>
                <w:sz w:val="22"/>
              </w:rPr>
              <w:t>6.66%</w:t>
            </w:r>
          </w:p>
        </w:tc>
        <w:tc>
          <w:tcPr>
            <w:tcW w:type="dxa" w:w="1234"/>
          </w:tcPr>
          <w:p>
            <w:r>
              <w:rPr>
                <w:rFonts w:ascii="Calibri" w:hAnsi="Calibri"/>
                <w:sz w:val="22"/>
              </w:rPr>
              <w:t>8.06%</w:t>
            </w:r>
          </w:p>
        </w:tc>
        <w:tc>
          <w:tcPr>
            <w:tcW w:type="dxa" w:w="1234"/>
          </w:tcPr>
          <w:p>
            <w:r>
              <w:rPr>
                <w:rFonts w:ascii="Calibri" w:hAnsi="Calibri"/>
                <w:b/>
                <w:color w:val="30A46C"/>
                <w:sz w:val="22"/>
              </w:rPr>
              <w:t>+140 bps</w:t>
            </w:r>
          </w:p>
        </w:tc>
        <w:tc>
          <w:tcPr>
            <w:tcW w:type="dxa" w:w="1234"/>
          </w:tcPr>
          <w:p>
            <w:r>
              <w:rPr>
                <w:rFonts w:ascii="Calibri" w:hAnsi="Calibri"/>
                <w:sz w:val="22"/>
              </w:rPr>
              <w:t>Target: 10–12% LT</w:t>
            </w:r>
          </w:p>
        </w:tc>
        <w:tc>
          <w:tcPr>
            <w:tcW w:type="dxa" w:w="1234"/>
          </w:tcPr>
          <w:p>
            <w:r>
              <w:rPr>
                <w:rFonts w:ascii="Calibri" w:hAnsi="Calibri"/>
                <w:sz w:val="22"/>
              </w:rPr>
              <w:t>~200 bps below LT target</w:t>
            </w:r>
          </w:p>
        </w:tc>
      </w:tr>
      <w:tr>
        <w:tc>
          <w:tcPr>
            <w:tcW w:type="dxa" w:w="1234"/>
          </w:tcPr>
          <w:p>
            <w:r>
              <w:rPr>
                <w:rFonts w:ascii="Calibri" w:hAnsi="Calibri"/>
                <w:sz w:val="22"/>
              </w:rPr>
              <w:t>Dedicated Revenue ($M)</w:t>
            </w:r>
          </w:p>
        </w:tc>
        <w:tc>
          <w:tcPr>
            <w:tcW w:type="dxa" w:w="1234"/>
          </w:tcPr>
          <w:p>
            <w:r>
              <w:rPr>
                <w:rFonts w:ascii="Calibri" w:hAnsi="Calibri"/>
                <w:sz w:val="22"/>
              </w:rPr>
              <w:t>$840.6M</w:t>
            </w:r>
          </w:p>
        </w:tc>
        <w:tc>
          <w:tcPr>
            <w:tcW w:type="dxa" w:w="1234"/>
          </w:tcPr>
          <w:p>
            <w:r>
              <w:rPr>
                <w:rFonts w:ascii="Calibri" w:hAnsi="Calibri"/>
                <w:sz w:val="22"/>
              </w:rPr>
              <w:t>$846.8M</w:t>
            </w:r>
          </w:p>
        </w:tc>
        <w:tc>
          <w:tcPr>
            <w:tcW w:type="dxa" w:w="1234"/>
          </w:tcPr>
          <w:p>
            <w:r>
              <w:rPr>
                <w:rFonts w:ascii="Calibri" w:hAnsi="Calibri"/>
                <w:sz w:val="22"/>
              </w:rPr>
              <w:t>$899.0M</w:t>
            </w:r>
          </w:p>
        </w:tc>
        <w:tc>
          <w:tcPr>
            <w:tcW w:type="dxa" w:w="1234"/>
          </w:tcPr>
          <w:p>
            <w:r>
              <w:rPr>
                <w:rFonts w:ascii="Calibri" w:hAnsi="Calibri"/>
                <w:b/>
                <w:color w:val="30A46C"/>
                <w:sz w:val="22"/>
              </w:rPr>
              <w:t>+6.2%</w:t>
            </w:r>
          </w:p>
        </w:tc>
        <w:tc>
          <w:tcPr>
            <w:tcW w:type="dxa" w:w="1234"/>
          </w:tcPr>
          <w:p>
            <w:r>
              <w:rPr>
                <w:rFonts w:ascii="Calibri" w:hAnsi="Calibri"/>
                <w:sz w:val="22"/>
              </w:rPr>
              <w:t>800–1,000 net new trucks FY2026</w:t>
            </w:r>
          </w:p>
        </w:tc>
        <w:tc>
          <w:tcPr>
            <w:tcW w:type="dxa" w:w="1234"/>
          </w:tcPr>
          <w:p>
            <w:r>
              <w:rPr>
                <w:rFonts w:ascii="Calibri" w:hAnsi="Calibri"/>
                <w:sz w:val="22"/>
              </w:rPr>
              <w:t>N/A</w:t>
            </w:r>
          </w:p>
        </w:tc>
      </w:tr>
      <w:tr>
        <w:tc>
          <w:tcPr>
            <w:tcW w:type="dxa" w:w="1234"/>
          </w:tcPr>
          <w:p>
            <w:r>
              <w:rPr>
                <w:rFonts w:ascii="Calibri" w:hAnsi="Calibri"/>
                <w:sz w:val="22"/>
              </w:rPr>
              <w:t>Dedicated Op. Margin (Adj.)</w:t>
            </w:r>
          </w:p>
        </w:tc>
        <w:tc>
          <w:tcPr>
            <w:tcW w:type="dxa" w:w="1234"/>
          </w:tcPr>
          <w:p>
            <w:r>
              <w:rPr>
                <w:rFonts w:ascii="Calibri" w:hAnsi="Calibri"/>
                <w:sz w:val="22"/>
              </w:rPr>
              <w:t>10.40%</w:t>
            </w:r>
          </w:p>
        </w:tc>
        <w:tc>
          <w:tcPr>
            <w:tcW w:type="dxa" w:w="1234"/>
          </w:tcPr>
          <w:p>
            <w:r>
              <w:rPr>
                <w:rFonts w:ascii="Calibri" w:hAnsi="Calibri"/>
                <w:sz w:val="22"/>
              </w:rPr>
              <w:t>11.06%</w:t>
            </w:r>
          </w:p>
        </w:tc>
        <w:tc>
          <w:tcPr>
            <w:tcW w:type="dxa" w:w="1234"/>
          </w:tcPr>
          <w:p>
            <w:r>
              <w:rPr>
                <w:rFonts w:ascii="Calibri" w:hAnsi="Calibri"/>
                <w:sz w:val="22"/>
              </w:rPr>
              <w:t>10.78%</w:t>
            </w:r>
          </w:p>
        </w:tc>
        <w:tc>
          <w:tcPr>
            <w:tcW w:type="dxa" w:w="1234"/>
          </w:tcPr>
          <w:p>
            <w:r>
              <w:rPr>
                <w:rFonts w:ascii="Calibri" w:hAnsi="Calibri"/>
                <w:b/>
                <w:color w:val="E5484D"/>
                <w:sz w:val="22"/>
              </w:rPr>
              <w:t>-28 bps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ICS Revenue ($M)</w:t>
            </w:r>
          </w:p>
        </w:tc>
        <w:tc>
          <w:tcPr>
            <w:tcW w:type="dxa" w:w="1234"/>
          </w:tcPr>
          <w:p>
            <w:r>
              <w:rPr>
                <w:rFonts w:ascii="Calibri" w:hAnsi="Calibri"/>
                <w:sz w:val="22"/>
              </w:rPr>
              <w:t>$322.7M</w:t>
            </w:r>
          </w:p>
        </w:tc>
        <w:tc>
          <w:tcPr>
            <w:tcW w:type="dxa" w:w="1234"/>
          </w:tcPr>
          <w:p>
            <w:r>
              <w:rPr>
                <w:rFonts w:ascii="Calibri" w:hAnsi="Calibri"/>
                <w:sz w:val="22"/>
              </w:rPr>
              <w:t>$260.2M</w:t>
            </w:r>
          </w:p>
        </w:tc>
        <w:tc>
          <w:tcPr>
            <w:tcW w:type="dxa" w:w="1234"/>
          </w:tcPr>
          <w:p>
            <w:r>
              <w:rPr>
                <w:rFonts w:ascii="Calibri" w:hAnsi="Calibri"/>
                <w:sz w:val="22"/>
              </w:rPr>
              <w:t>$329.5M</w:t>
            </w:r>
          </w:p>
        </w:tc>
        <w:tc>
          <w:tcPr>
            <w:tcW w:type="dxa" w:w="1234"/>
          </w:tcPr>
          <w:p>
            <w:r>
              <w:rPr>
                <w:rFonts w:ascii="Calibri" w:hAnsi="Calibri"/>
                <w:b/>
                <w:color w:val="30A46C"/>
                <w:sz w:val="22"/>
              </w:rPr>
              <w:t>+26.6%</w:t>
            </w:r>
          </w:p>
        </w:tc>
        <w:tc>
          <w:tcPr>
            <w:tcW w:type="dxa" w:w="1234"/>
          </w:tcPr>
          <w:p>
            <w:r>
              <w:rPr>
                <w:rFonts w:ascii="Calibri" w:hAnsi="Calibri"/>
                <w:sz w:val="22"/>
              </w:rPr>
              <w:t>Return to profitability expected</w:t>
            </w:r>
          </w:p>
        </w:tc>
        <w:tc>
          <w:tcPr>
            <w:tcW w:type="dxa" w:w="1234"/>
          </w:tcPr>
          <w:p>
            <w:r>
              <w:rPr>
                <w:rFonts w:ascii="Calibri" w:hAnsi="Calibri"/>
                <w:sz w:val="22"/>
              </w:rPr>
              <w:t>N/A</w:t>
            </w:r>
          </w:p>
        </w:tc>
      </w:tr>
      <w:tr>
        <w:tc>
          <w:tcPr>
            <w:tcW w:type="dxa" w:w="1234"/>
          </w:tcPr>
          <w:p>
            <w:r>
              <w:rPr>
                <w:rFonts w:ascii="Calibri" w:hAnsi="Calibri"/>
                <w:sz w:val="22"/>
              </w:rPr>
              <w:t>Truckload Revenue ($M)</w:t>
            </w:r>
          </w:p>
        </w:tc>
        <w:tc>
          <w:tcPr>
            <w:tcW w:type="dxa" w:w="1234"/>
          </w:tcPr>
          <w:p>
            <w:r>
              <w:rPr>
                <w:rFonts w:ascii="Calibri" w:hAnsi="Calibri"/>
                <w:sz w:val="22"/>
              </w:rPr>
              <w:t>$205.4M</w:t>
            </w:r>
          </w:p>
        </w:tc>
        <w:tc>
          <w:tcPr>
            <w:tcW w:type="dxa" w:w="1234"/>
          </w:tcPr>
          <w:p>
            <w:r>
              <w:rPr>
                <w:rFonts w:ascii="Calibri" w:hAnsi="Calibri"/>
                <w:sz w:val="22"/>
              </w:rPr>
              <w:t>$177.0M</w:t>
            </w:r>
          </w:p>
        </w:tc>
        <w:tc>
          <w:tcPr>
            <w:tcW w:type="dxa" w:w="1234"/>
          </w:tcPr>
          <w:p>
            <w:r>
              <w:rPr>
                <w:rFonts w:ascii="Calibri" w:hAnsi="Calibri"/>
                <w:sz w:val="22"/>
              </w:rPr>
              <w:t>$212.7M</w:t>
            </w:r>
          </w:p>
        </w:tc>
        <w:tc>
          <w:tcPr>
            <w:tcW w:type="dxa" w:w="1234"/>
          </w:tcPr>
          <w:p>
            <w:r>
              <w:rPr>
                <w:rFonts w:ascii="Calibri" w:hAnsi="Calibri"/>
                <w:b/>
                <w:color w:val="30A46C"/>
                <w:sz w:val="22"/>
              </w:rPr>
              <w:t>+20.2%</w:t>
            </w:r>
          </w:p>
        </w:tc>
        <w:tc>
          <w:tcPr>
            <w:tcW w:type="dxa" w:w="1234"/>
          </w:tcPr>
          <w:p>
            <w:r>
              <w:rPr>
                <w:rFonts w:ascii="Calibri" w:hAnsi="Calibri"/>
                <w:sz w:val="22"/>
              </w:rPr>
              <w:t>No formal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14, 2026. Operating figures use JBHT’s adjusted/operating definitions. Intermodal margin target of 10–12% is management’s long-term stated goal.</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tracked: </w:t>
      </w:r>
      <w:r>
        <w:rPr>
          <w:rFonts w:ascii="Calibri" w:hAnsi="Calibri"/>
          <w:color w:val="525866"/>
          <w:sz w:val="22"/>
        </w:rPr>
        <w:t>Operating EPS (Diluted, Adj.) and Intermodal Revenue per Load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$1.487</w:t>
            </w:r>
          </w:p>
        </w:tc>
        <w:tc>
          <w:tcPr>
            <w:tcW w:type="dxa" w:w="1440"/>
          </w:tcPr>
          <w:p>
            <w:r>
              <w:rPr>
                <w:rFonts w:ascii="Calibri" w:hAnsi="Calibri"/>
                <w:sz w:val="22"/>
              </w:rPr>
              <w:t>$1.437</w:t>
            </w:r>
          </w:p>
        </w:tc>
        <w:tc>
          <w:tcPr>
            <w:tcW w:type="dxa" w:w="1440"/>
          </w:tcPr>
          <w:p>
            <w:r>
              <w:rPr>
                <w:rFonts w:ascii="Calibri" w:hAnsi="Calibri"/>
                <w:b/>
                <w:color w:val="30A46C"/>
                <w:sz w:val="22"/>
              </w:rPr>
              <w:t>+3.5%</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IM Rev/Load</w:t>
            </w:r>
          </w:p>
        </w:tc>
        <w:tc>
          <w:tcPr>
            <w:tcW w:type="dxa" w:w="1440"/>
          </w:tcPr>
          <w:p>
            <w:r>
              <w:rPr>
                <w:rFonts w:ascii="Calibri" w:hAnsi="Calibri"/>
                <w:sz w:val="22"/>
              </w:rPr>
              <w:t>$2,803</w:t>
            </w:r>
          </w:p>
        </w:tc>
        <w:tc>
          <w:tcPr>
            <w:tcW w:type="dxa" w:w="1440"/>
          </w:tcPr>
          <w:p>
            <w:r>
              <w:rPr>
                <w:rFonts w:ascii="Calibri" w:hAnsi="Calibri"/>
                <w:sz w:val="22"/>
              </w:rPr>
              <w:t>$2,813</w:t>
            </w:r>
          </w:p>
        </w:tc>
        <w:tc>
          <w:tcPr>
            <w:tcW w:type="dxa" w:w="1440"/>
          </w:tcPr>
          <w:p>
            <w:r>
              <w:rPr>
                <w:rFonts w:ascii="Calibri" w:hAnsi="Calibri"/>
                <w:b/>
                <w:color w:val="E5484D"/>
                <w:sz w:val="22"/>
              </w:rPr>
              <w:t>-0.4%</w:t>
            </w:r>
          </w:p>
        </w:tc>
        <w:tc>
          <w:tcPr>
            <w:tcW w:type="dxa" w:w="1440"/>
          </w:tcPr>
          <w:p>
            <w:r>
              <w:rPr>
                <w:rFonts w:ascii="Calibri" w:hAnsi="Calibri"/>
                <w:b/>
                <w:sz w:val="22"/>
              </w:rPr>
              <w:t>Miss</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$1.896</w:t>
            </w:r>
          </w:p>
        </w:tc>
        <w:tc>
          <w:tcPr>
            <w:tcW w:type="dxa" w:w="1440"/>
          </w:tcPr>
          <w:p>
            <w:r>
              <w:rPr>
                <w:rFonts w:ascii="Calibri" w:hAnsi="Calibri"/>
                <w:sz w:val="22"/>
              </w:rPr>
              <w:t>$1.814</w:t>
            </w:r>
          </w:p>
        </w:tc>
        <w:tc>
          <w:tcPr>
            <w:tcW w:type="dxa" w:w="1440"/>
          </w:tcPr>
          <w:p>
            <w:r>
              <w:rPr>
                <w:rFonts w:ascii="Calibri" w:hAnsi="Calibri"/>
                <w:b/>
                <w:color w:val="30A46C"/>
                <w:sz w:val="22"/>
              </w:rPr>
              <w:t>+4.5%</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IM Rev/Load</w:t>
            </w:r>
          </w:p>
        </w:tc>
        <w:tc>
          <w:tcPr>
            <w:tcW w:type="dxa" w:w="1440"/>
          </w:tcPr>
          <w:p>
            <w:r>
              <w:rPr>
                <w:rFonts w:ascii="Calibri" w:hAnsi="Calibri"/>
                <w:sz w:val="22"/>
              </w:rPr>
              <w:t>$2,808</w:t>
            </w:r>
          </w:p>
        </w:tc>
        <w:tc>
          <w:tcPr>
            <w:tcW w:type="dxa" w:w="1440"/>
          </w:tcPr>
          <w:p>
            <w:r>
              <w:rPr>
                <w:rFonts w:ascii="Calibri" w:hAnsi="Calibri"/>
                <w:sz w:val="22"/>
              </w:rPr>
              <w:t>$2,825</w:t>
            </w:r>
          </w:p>
        </w:tc>
        <w:tc>
          <w:tcPr>
            <w:tcW w:type="dxa" w:w="1440"/>
          </w:tcPr>
          <w:p>
            <w:r>
              <w:rPr>
                <w:rFonts w:ascii="Calibri" w:hAnsi="Calibri"/>
                <w:b/>
                <w:color w:val="E5484D"/>
                <w:sz w:val="22"/>
              </w:rPr>
              <w:t>-0.6%</w:t>
            </w:r>
          </w:p>
        </w:tc>
        <w:tc>
          <w:tcPr>
            <w:tcW w:type="dxa" w:w="1440"/>
          </w:tcPr>
          <w:p>
            <w:r>
              <w:rPr>
                <w:rFonts w:ascii="Calibri" w:hAnsi="Calibri"/>
                <w:b/>
                <w:sz w:val="22"/>
              </w:rPr>
              <w:t>Miss</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$1.764</w:t>
            </w:r>
          </w:p>
        </w:tc>
        <w:tc>
          <w:tcPr>
            <w:tcW w:type="dxa" w:w="1440"/>
          </w:tcPr>
          <w:p>
            <w:r>
              <w:rPr>
                <w:rFonts w:ascii="Calibri" w:hAnsi="Calibri"/>
                <w:sz w:val="22"/>
              </w:rPr>
              <w:t>$1.457</w:t>
            </w:r>
          </w:p>
        </w:tc>
        <w:tc>
          <w:tcPr>
            <w:tcW w:type="dxa" w:w="1440"/>
          </w:tcPr>
          <w:p>
            <w:r>
              <w:rPr>
                <w:rFonts w:ascii="Calibri" w:hAnsi="Calibri"/>
                <w:b/>
                <w:color w:val="30A46C"/>
                <w:sz w:val="22"/>
              </w:rPr>
              <w:t>+21.1%</w:t>
            </w:r>
          </w:p>
        </w:tc>
        <w:tc>
          <w:tcPr>
            <w:tcW w:type="dxa" w:w="1440"/>
          </w:tcPr>
          <w:p>
            <w:r>
              <w:rPr>
                <w:rFonts w:ascii="Calibri" w:hAnsi="Calibri"/>
                <w:b/>
                <w:sz w:val="22"/>
              </w:rPr>
              <w:t>Large Beat</w:t>
            </w:r>
          </w:p>
        </w:tc>
      </w:tr>
      <w:tr>
        <w:tc>
          <w:tcPr>
            <w:tcW w:type="dxa" w:w="1440"/>
          </w:tcPr>
          <w:p>
            <w:r>
              <w:rPr>
                <w:rFonts w:ascii="Calibri" w:hAnsi="Calibri"/>
                <w:sz w:val="22"/>
              </w:rPr>
              <w:t>Q3 2025</w:t>
            </w:r>
          </w:p>
        </w:tc>
        <w:tc>
          <w:tcPr>
            <w:tcW w:type="dxa" w:w="1440"/>
          </w:tcPr>
          <w:p>
            <w:r>
              <w:rPr>
                <w:rFonts w:ascii="Calibri" w:hAnsi="Calibri"/>
                <w:sz w:val="22"/>
              </w:rPr>
              <w:t>IM Rev/Load</w:t>
            </w:r>
          </w:p>
        </w:tc>
        <w:tc>
          <w:tcPr>
            <w:tcW w:type="dxa" w:w="1440"/>
          </w:tcPr>
          <w:p>
            <w:r>
              <w:rPr>
                <w:rFonts w:ascii="Calibri" w:hAnsi="Calibri"/>
                <w:sz w:val="22"/>
              </w:rPr>
              <w:t>$2,816</w:t>
            </w:r>
          </w:p>
        </w:tc>
        <w:tc>
          <w:tcPr>
            <w:tcW w:type="dxa" w:w="1440"/>
          </w:tcPr>
          <w:p>
            <w:r>
              <w:rPr>
                <w:rFonts w:ascii="Calibri" w:hAnsi="Calibri"/>
                <w:sz w:val="22"/>
              </w:rPr>
              <w:t>$2,785</w:t>
            </w:r>
          </w:p>
        </w:tc>
        <w:tc>
          <w:tcPr>
            <w:tcW w:type="dxa" w:w="1440"/>
          </w:tcPr>
          <w:p>
            <w:r>
              <w:rPr>
                <w:rFonts w:ascii="Calibri" w:hAnsi="Calibri"/>
                <w:b/>
                <w:color w:val="30A46C"/>
                <w:sz w:val="22"/>
              </w:rPr>
              <w:t>+1.1%</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$1.313</w:t>
            </w:r>
          </w:p>
        </w:tc>
        <w:tc>
          <w:tcPr>
            <w:tcW w:type="dxa" w:w="1440"/>
          </w:tcPr>
          <w:p>
            <w:r>
              <w:rPr>
                <w:rFonts w:ascii="Calibri" w:hAnsi="Calibri"/>
                <w:sz w:val="22"/>
              </w:rPr>
              <w:t>$1.297</w:t>
            </w:r>
          </w:p>
        </w:tc>
        <w:tc>
          <w:tcPr>
            <w:tcW w:type="dxa" w:w="1440"/>
          </w:tcPr>
          <w:p>
            <w:r>
              <w:rPr>
                <w:rFonts w:ascii="Calibri" w:hAnsi="Calibri"/>
                <w:b/>
                <w:color w:val="30A46C"/>
                <w:sz w:val="22"/>
              </w:rPr>
              <w:t>+1.2%</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IM Rev/Load</w:t>
            </w:r>
          </w:p>
        </w:tc>
        <w:tc>
          <w:tcPr>
            <w:tcW w:type="dxa" w:w="1440"/>
          </w:tcPr>
          <w:p>
            <w:r>
              <w:rPr>
                <w:rFonts w:ascii="Calibri" w:hAnsi="Calibri"/>
                <w:sz w:val="22"/>
              </w:rPr>
              <w:t>$2,738</w:t>
            </w:r>
          </w:p>
        </w:tc>
        <w:tc>
          <w:tcPr>
            <w:tcW w:type="dxa" w:w="1440"/>
          </w:tcPr>
          <w:p>
            <w:r>
              <w:rPr>
                <w:rFonts w:ascii="Calibri" w:hAnsi="Calibri"/>
                <w:sz w:val="22"/>
              </w:rPr>
              <w:t>$2,769</w:t>
            </w:r>
          </w:p>
        </w:tc>
        <w:tc>
          <w:tcPr>
            <w:tcW w:type="dxa" w:w="1440"/>
          </w:tcPr>
          <w:p>
            <w:r>
              <w:rPr>
                <w:rFonts w:ascii="Calibri" w:hAnsi="Calibri"/>
                <w:b/>
                <w:color w:val="E5484D"/>
                <w:sz w:val="22"/>
              </w:rPr>
              <w:t>-1.1%</w:t>
            </w:r>
          </w:p>
        </w:tc>
        <w:tc>
          <w:tcPr>
            <w:tcW w:type="dxa" w:w="1440"/>
          </w:tcPr>
          <w:p>
            <w:r>
              <w:rPr>
                <w:rFonts w:ascii="Calibri" w:hAnsi="Calibri"/>
                <w:b/>
                <w:sz w:val="22"/>
              </w:rPr>
              <w:t>Miss</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$1.172</w:t>
            </w:r>
          </w:p>
        </w:tc>
        <w:tc>
          <w:tcPr>
            <w:tcW w:type="dxa" w:w="1440"/>
          </w:tcPr>
          <w:p>
            <w:r>
              <w:rPr>
                <w:rFonts w:ascii="Calibri" w:hAnsi="Calibri"/>
                <w:sz w:val="22"/>
              </w:rPr>
              <w:t>$1.155</w:t>
            </w:r>
          </w:p>
        </w:tc>
        <w:tc>
          <w:tcPr>
            <w:tcW w:type="dxa" w:w="1440"/>
          </w:tcPr>
          <w:p>
            <w:r>
              <w:rPr>
                <w:rFonts w:ascii="Calibri" w:hAnsi="Calibri"/>
                <w:b/>
                <w:color w:val="30A46C"/>
                <w:sz w:val="22"/>
              </w:rPr>
              <w:t>+1.5%</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IM Rev/Load</w:t>
            </w:r>
          </w:p>
        </w:tc>
        <w:tc>
          <w:tcPr>
            <w:tcW w:type="dxa" w:w="1440"/>
          </w:tcPr>
          <w:p>
            <w:r>
              <w:rPr>
                <w:rFonts w:ascii="Calibri" w:hAnsi="Calibri"/>
                <w:sz w:val="22"/>
              </w:rPr>
              <w:t>$2,816</w:t>
            </w:r>
          </w:p>
        </w:tc>
        <w:tc>
          <w:tcPr>
            <w:tcW w:type="dxa" w:w="1440"/>
          </w:tcPr>
          <w:p>
            <w:r>
              <w:rPr>
                <w:rFonts w:ascii="Calibri" w:hAnsi="Calibri"/>
                <w:sz w:val="22"/>
              </w:rPr>
              <w:t>$2,772</w:t>
            </w:r>
          </w:p>
        </w:tc>
        <w:tc>
          <w:tcPr>
            <w:tcW w:type="dxa" w:w="1440"/>
          </w:tcPr>
          <w:p>
            <w:r>
              <w:rPr>
                <w:rFonts w:ascii="Calibri" w:hAnsi="Calibri"/>
                <w:b/>
                <w:color w:val="30A46C"/>
                <w:sz w:val="22"/>
              </w:rPr>
              <w:t>+1.6%</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$1.655</w:t>
            </w:r>
          </w:p>
        </w:tc>
        <w:tc>
          <w:tcPr>
            <w:tcW w:type="dxa" w:w="1440"/>
          </w:tcPr>
          <w:p>
            <w:r>
              <w:rPr>
                <w:rFonts w:ascii="Calibri" w:hAnsi="Calibri"/>
                <w:sz w:val="22"/>
              </w:rPr>
              <w:t>$1.596</w:t>
            </w:r>
          </w:p>
        </w:tc>
        <w:tc>
          <w:tcPr>
            <w:tcW w:type="dxa" w:w="1440"/>
          </w:tcPr>
          <w:p>
            <w:r>
              <w:rPr>
                <w:rFonts w:ascii="Calibri" w:hAnsi="Calibri"/>
                <w:b/>
                <w:color w:val="30A46C"/>
                <w:sz w:val="22"/>
              </w:rPr>
              <w:t>+3.7%</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IM Rev/Load</w:t>
            </w:r>
          </w:p>
        </w:tc>
        <w:tc>
          <w:tcPr>
            <w:tcW w:type="dxa" w:w="1440"/>
          </w:tcPr>
          <w:p>
            <w:r>
              <w:rPr>
                <w:rFonts w:ascii="Calibri" w:hAnsi="Calibri"/>
                <w:sz w:val="22"/>
              </w:rPr>
              <w:t>$2,850</w:t>
            </w:r>
          </w:p>
        </w:tc>
        <w:tc>
          <w:tcPr>
            <w:tcW w:type="dxa" w:w="1440"/>
          </w:tcPr>
          <w:p>
            <w:r>
              <w:rPr>
                <w:rFonts w:ascii="Calibri" w:hAnsi="Calibri"/>
                <w:sz w:val="22"/>
              </w:rPr>
              <w:t>$2,868</w:t>
            </w:r>
          </w:p>
        </w:tc>
        <w:tc>
          <w:tcPr>
            <w:tcW w:type="dxa" w:w="1440"/>
          </w:tcPr>
          <w:p>
            <w:r>
              <w:rPr>
                <w:rFonts w:ascii="Calibri" w:hAnsi="Calibri"/>
                <w:b/>
                <w:color w:val="E5484D"/>
                <w:sz w:val="22"/>
              </w:rPr>
              <w:t>-0.6%</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$1.489</w:t>
            </w:r>
          </w:p>
        </w:tc>
        <w:tc>
          <w:tcPr>
            <w:tcW w:type="dxa" w:w="1440"/>
          </w:tcPr>
          <w:p>
            <w:r>
              <w:rPr>
                <w:rFonts w:ascii="Calibri" w:hAnsi="Calibri"/>
                <w:sz w:val="22"/>
              </w:rPr>
              <w:t>$1.387</w:t>
            </w:r>
          </w:p>
        </w:tc>
        <w:tc>
          <w:tcPr>
            <w:tcW w:type="dxa" w:w="1440"/>
          </w:tcPr>
          <w:p>
            <w:r>
              <w:rPr>
                <w:rFonts w:ascii="Calibri" w:hAnsi="Calibri"/>
                <w:b/>
                <w:color w:val="30A46C"/>
                <w:sz w:val="22"/>
              </w:rPr>
              <w:t>+7.4%</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IM Rev/Load</w:t>
            </w:r>
          </w:p>
        </w:tc>
        <w:tc>
          <w:tcPr>
            <w:tcW w:type="dxa" w:w="1440"/>
          </w:tcPr>
          <w:p>
            <w:r>
              <w:rPr>
                <w:rFonts w:ascii="Calibri" w:hAnsi="Calibri"/>
                <w:sz w:val="22"/>
              </w:rPr>
              <w:t>$2,841</w:t>
            </w:r>
          </w:p>
        </w:tc>
        <w:tc>
          <w:tcPr>
            <w:tcW w:type="dxa" w:w="1440"/>
          </w:tcPr>
          <w:p>
            <w:r>
              <w:rPr>
                <w:rFonts w:ascii="Calibri" w:hAnsi="Calibri"/>
                <w:sz w:val="22"/>
              </w:rPr>
              <w:t>$2,810</w:t>
            </w:r>
          </w:p>
        </w:tc>
        <w:tc>
          <w:tcPr>
            <w:tcW w:type="dxa" w:w="1440"/>
          </w:tcPr>
          <w:p>
            <w:r>
              <w:rPr>
                <w:rFonts w:ascii="Calibri" w:hAnsi="Calibri"/>
                <w:b/>
                <w:color w:val="30A46C"/>
                <w:sz w:val="22"/>
              </w:rPr>
              <w:t>+1.1%</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$1.317</w:t>
            </w:r>
          </w:p>
        </w:tc>
        <w:tc>
          <w:tcPr>
            <w:tcW w:type="dxa" w:w="1440"/>
          </w:tcPr>
          <w:p>
            <w:r>
              <w:rPr>
                <w:rFonts w:ascii="Calibri" w:hAnsi="Calibri"/>
                <w:sz w:val="22"/>
              </w:rPr>
              <w:t>$1.483</w:t>
            </w:r>
          </w:p>
        </w:tc>
        <w:tc>
          <w:tcPr>
            <w:tcW w:type="dxa" w:w="1440"/>
          </w:tcPr>
          <w:p>
            <w:r>
              <w:rPr>
                <w:rFonts w:ascii="Calibri" w:hAnsi="Calibri"/>
                <w:b/>
                <w:color w:val="E5484D"/>
                <w:sz w:val="22"/>
              </w:rPr>
              <w:t>-11.2%</w:t>
            </w:r>
          </w:p>
        </w:tc>
        <w:tc>
          <w:tcPr>
            <w:tcW w:type="dxa" w:w="1440"/>
          </w:tcPr>
          <w:p>
            <w:r>
              <w:rPr>
                <w:rFonts w:ascii="Calibri" w:hAnsi="Calibri"/>
                <w:b/>
                <w:sz w:val="22"/>
              </w:rPr>
              <w:t>Miss</w:t>
            </w:r>
          </w:p>
        </w:tc>
      </w:tr>
      <w:tr>
        <w:tc>
          <w:tcPr>
            <w:tcW w:type="dxa" w:w="1440"/>
          </w:tcPr>
          <w:p>
            <w:r>
              <w:rPr>
                <w:rFonts w:ascii="Calibri" w:hAnsi="Calibri"/>
                <w:sz w:val="22"/>
              </w:rPr>
              <w:t>Q2 2024</w:t>
            </w:r>
          </w:p>
        </w:tc>
        <w:tc>
          <w:tcPr>
            <w:tcW w:type="dxa" w:w="1440"/>
          </w:tcPr>
          <w:p>
            <w:r>
              <w:rPr>
                <w:rFonts w:ascii="Calibri" w:hAnsi="Calibri"/>
                <w:sz w:val="22"/>
              </w:rPr>
              <w:t>IM Rev/Load</w:t>
            </w:r>
          </w:p>
        </w:tc>
        <w:tc>
          <w:tcPr>
            <w:tcW w:type="dxa" w:w="1440"/>
          </w:tcPr>
          <w:p>
            <w:r>
              <w:rPr>
                <w:rFonts w:ascii="Calibri" w:hAnsi="Calibri"/>
                <w:sz w:val="22"/>
              </w:rPr>
              <w:t>$2,829</w:t>
            </w:r>
          </w:p>
        </w:tc>
        <w:tc>
          <w:tcPr>
            <w:tcW w:type="dxa" w:w="1440"/>
          </w:tcPr>
          <w:p>
            <w:r>
              <w:rPr>
                <w:rFonts w:ascii="Calibri" w:hAnsi="Calibri"/>
                <w:sz w:val="22"/>
              </w:rPr>
              <w:t>$2,844</w:t>
            </w:r>
          </w:p>
        </w:tc>
        <w:tc>
          <w:tcPr>
            <w:tcW w:type="dxa" w:w="1440"/>
          </w:tcPr>
          <w:p>
            <w:r>
              <w:rPr>
                <w:rFonts w:ascii="Calibri" w:hAnsi="Calibri"/>
                <w:b/>
                <w:color w:val="E5484D"/>
                <w:sz w:val="22"/>
              </w:rPr>
              <w:t>-0.5%</w:t>
            </w:r>
          </w:p>
        </w:tc>
        <w:tc>
          <w:tcPr>
            <w:tcW w:type="dxa" w:w="1440"/>
          </w:tcPr>
          <w:p>
            <w:r>
              <w:rPr>
                <w:rFonts w:ascii="Calibri" w:hAnsi="Calibri"/>
                <w:b/>
                <w:sz w:val="22"/>
              </w:rPr>
              <w:t>Miss</w:t>
            </w:r>
          </w:p>
        </w:tc>
      </w:tr>
    </w:tbl>
    <w:p>
      <w:r>
        <w:rPr>
          <w:rFonts w:ascii="Calibri" w:hAnsi="Calibri"/>
          <w:b/>
          <w:color w:val="525866"/>
          <w:sz w:val="22"/>
        </w:rPr>
        <w:t xml:space="preserve">Pattern: </w:t>
      </w:r>
      <w:r>
        <w:rPr>
          <w:rFonts w:ascii="Calibri" w:hAnsi="Calibri"/>
          <w:i/>
          <w:color w:val="525866"/>
          <w:sz w:val="22"/>
        </w:rPr>
        <w:t>JBHT has beaten on operating EPS in 7 of the last 8 quarters (the lone miss was Q2 2024, the trough of the freight cycle), demonstrating consistent cost discipline; however, intermodal revenue per load has missed consensus in 5 of the last 8 quarters, reflecting persistent pricing headwinds that remain the key unresolved debate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Q2 guidance was issued at Q1 earnings, but management’s directional commentary has grown meaningfully more constructive — </w:t>
      </w:r>
      <w:r>
        <w:rPr>
          <w:rFonts w:ascii="Calibri" w:hAnsi="Calibri"/>
          <w:b/>
          <w:color w:val="525866"/>
          <w:sz w:val="22"/>
        </w:rPr>
        <w:t>cost savings are running ahead of plan, the Dedicated pipeline is at record levels, and real-time freight tightening signals (tender rejections, mini-bid escalation) have accelerated since April.</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(Apr 15, 2026) — Baseline</w:t>
            </w:r>
          </w:p>
        </w:tc>
        <w:tc>
          <w:tcPr>
            <w:tcW w:type="dxa" w:w="2160"/>
            <w:shd w:val="clear" w:color="auto" w:fill="3B4259"/>
          </w:tcPr>
          <w:p>
            <w:r>
              <w:rPr>
                <w:rFonts w:ascii="Calibri" w:hAnsi="Calibri"/>
                <w:b/>
                <w:color w:val="FFFFFF"/>
                <w:sz w:val="22"/>
              </w:rPr>
              <w:t>Revised / Updated Commentary (Post-Q1)</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Cost-to-Serve</w:t>
            </w:r>
          </w:p>
        </w:tc>
        <w:tc>
          <w:tcPr>
            <w:tcW w:type="dxa" w:w="2160"/>
          </w:tcPr>
          <w:p>
            <w:r>
              <w:rPr>
                <w:rFonts w:ascii="Calibri" w:hAnsi="Calibri"/>
                <w:sz w:val="22"/>
              </w:rPr>
              <w:t>Annualized savings run rate tracking well above $100M target; quarterly savings exceeding prior run rates</w:t>
            </w:r>
          </w:p>
        </w:tc>
        <w:tc>
          <w:tcPr>
            <w:tcW w:type="dxa" w:w="2160"/>
          </w:tcPr>
          <w:p>
            <w:r>
              <w:rPr>
                <w:rFonts w:ascii="Calibri" w:hAnsi="Calibri"/>
                <w:sz w:val="22"/>
              </w:rPr>
              <w:t>No update; execution continues ahead of plan. Structural cost reduction remains the primary near-term margin driver</w:t>
            </w:r>
          </w:p>
        </w:tc>
        <w:tc>
          <w:tcPr>
            <w:tcW w:type="dxa" w:w="2160"/>
          </w:tcPr>
          <w:p>
            <w:r>
              <w:rPr>
                <w:rFonts w:ascii="Calibri" w:hAnsi="Calibri"/>
                <w:b/>
                <w:color w:val="30A46C"/>
                <w:sz w:val="22"/>
              </w:rPr>
              <w:t>↑ More Positive</w:t>
            </w:r>
          </w:p>
        </w:tc>
      </w:tr>
      <w:tr>
        <w:tc>
          <w:tcPr>
            <w:tcW w:type="dxa" w:w="2160"/>
          </w:tcPr>
          <w:p>
            <w:r>
              <w:rPr>
                <w:rFonts w:ascii="Calibri" w:hAnsi="Calibri"/>
                <w:sz w:val="22"/>
              </w:rPr>
              <w:t>Intermodal Pricing</w:t>
            </w:r>
          </w:p>
        </w:tc>
        <w:tc>
          <w:tcPr>
            <w:tcW w:type="dxa" w:w="2160"/>
          </w:tcPr>
          <w:p>
            <w:r>
              <w:rPr>
                <w:rFonts w:ascii="Calibri" w:hAnsi="Calibri"/>
                <w:sz w:val="22"/>
              </w:rPr>
              <w:t>UP volume incentive programs suppressing TransCon headhaul pricing; customers citing UP programs as reason for not accepting JBHT prices; awaiting formal merger application</w:t>
            </w:r>
          </w:p>
        </w:tc>
        <w:tc>
          <w:tcPr>
            <w:tcW w:type="dxa" w:w="2160"/>
          </w:tcPr>
          <w:p>
            <w:r>
              <w:rPr>
                <w:rFonts w:ascii="Calibri" w:hAnsi="Calibri"/>
                <w:sz w:val="22"/>
              </w:rPr>
              <w:t>Routing guide breakdowns accelerating from March through June; mini-bids escalating to full network rebids with tens of thousands of loads; July 2026 bid cycle beginning — management positioning for repricing</w:t>
            </w:r>
          </w:p>
        </w:tc>
        <w:tc>
          <w:tcPr>
            <w:tcW w:type="dxa" w:w="2160"/>
          </w:tcPr>
          <w:p>
            <w:r>
              <w:rPr>
                <w:rFonts w:ascii="Calibri" w:hAnsi="Calibri"/>
                <w:b/>
                <w:color w:val="30A46C"/>
                <w:sz w:val="22"/>
              </w:rPr>
              <w:t>↑ Cautiously More Positive</w:t>
            </w:r>
          </w:p>
        </w:tc>
      </w:tr>
      <w:tr>
        <w:tc>
          <w:tcPr>
            <w:tcW w:type="dxa" w:w="2160"/>
          </w:tcPr>
          <w:p>
            <w:r>
              <w:rPr>
                <w:rFonts w:ascii="Calibri" w:hAnsi="Calibri"/>
                <w:sz w:val="22"/>
              </w:rPr>
              <w:t>Freight Market Tightening</w:t>
            </w:r>
          </w:p>
        </w:tc>
        <w:tc>
          <w:tcPr>
            <w:tcW w:type="dxa" w:w="2160"/>
          </w:tcPr>
          <w:p>
            <w:r>
              <w:rPr>
                <w:rFonts w:ascii="Calibri" w:hAnsi="Calibri"/>
                <w:sz w:val="22"/>
              </w:rPr>
              <w:t>Regulatory enforcement (ELD, non-dom CDL, Dalilah Law) cited as near-term capacity tightening catalysts; CVSA Roadcheck (May 12-14) focused on ELD tampering</w:t>
            </w:r>
          </w:p>
        </w:tc>
        <w:tc>
          <w:tcPr>
            <w:tcW w:type="dxa" w:w="2160"/>
          </w:tcPr>
          <w:p>
            <w:r>
              <w:rPr>
                <w:rFonts w:ascii="Calibri" w:hAnsi="Calibri"/>
                <w:sz w:val="22"/>
              </w:rPr>
              <w:t>SONAR tender rejections reached ~18% in late May/early June — levels not seen since 2021; routing guide breakdowns at accelerated pace; management views this as clearest real-time indicator of market tightening</w:t>
            </w:r>
          </w:p>
        </w:tc>
        <w:tc>
          <w:tcPr>
            <w:tcW w:type="dxa" w:w="2160"/>
          </w:tcPr>
          <w:p>
            <w:r>
              <w:rPr>
                <w:rFonts w:ascii="Calibri" w:hAnsi="Calibri"/>
                <w:b/>
                <w:color w:val="30A46C"/>
                <w:sz w:val="22"/>
              </w:rPr>
              <w:t>↑ Significantly More Positive</w:t>
            </w:r>
          </w:p>
        </w:tc>
      </w:tr>
      <w:tr>
        <w:tc>
          <w:tcPr>
            <w:tcW w:type="dxa" w:w="2160"/>
          </w:tcPr>
          <w:p>
            <w:r>
              <w:rPr>
                <w:rFonts w:ascii="Calibri" w:hAnsi="Calibri"/>
                <w:sz w:val="22"/>
              </w:rPr>
              <w:t>Dedicated Segment</w:t>
            </w:r>
          </w:p>
        </w:tc>
        <w:tc>
          <w:tcPr>
            <w:tcW w:type="dxa" w:w="2160"/>
          </w:tcPr>
          <w:p>
            <w:r>
              <w:rPr>
                <w:rFonts w:ascii="Calibri" w:hAnsi="Calibri"/>
                <w:sz w:val="22"/>
              </w:rPr>
              <w:t>~295 trucks sold in Q1 2026; full-year target 800–1,000 net new trucks; record monthly pricing volumes in March 2026; pipeline strengthening</w:t>
            </w:r>
          </w:p>
        </w:tc>
        <w:tc>
          <w:tcPr>
            <w:tcW w:type="dxa" w:w="2160"/>
          </w:tcPr>
          <w:p>
            <w:r>
              <w:rPr>
                <w:rFonts w:ascii="Calibri" w:hAnsi="Calibri"/>
                <w:sz w:val="22"/>
              </w:rPr>
              <w:t>No formal update; pipeline momentum expected to convert into 2027 revenue growth. Consensus expects $899M revenue in Q2 2026 vs. $847M in Q2 2025 (+6.2%)</w:t>
            </w:r>
          </w:p>
        </w:tc>
        <w:tc>
          <w:tcPr>
            <w:tcW w:type="dxa" w:w="2160"/>
          </w:tcPr>
          <w:p>
            <w:r>
              <w:rPr>
                <w:rFonts w:ascii="Calibri" w:hAnsi="Calibri"/>
                <w:b/>
                <w:color w:val="002FA7"/>
                <w:sz w:val="22"/>
              </w:rPr>
              <w:t>→ Unchanged / On Track</w:t>
            </w:r>
          </w:p>
        </w:tc>
      </w:tr>
      <w:tr>
        <w:tc>
          <w:tcPr>
            <w:tcW w:type="dxa" w:w="2160"/>
          </w:tcPr>
          <w:p>
            <w:r>
              <w:rPr>
                <w:rFonts w:ascii="Calibri" w:hAnsi="Calibri"/>
                <w:sz w:val="22"/>
              </w:rPr>
              <w:t>ICS Segment</w:t>
            </w:r>
          </w:p>
        </w:tc>
        <w:tc>
          <w:tcPr>
            <w:tcW w:type="dxa" w:w="2160"/>
          </w:tcPr>
          <w:p>
            <w:r>
              <w:rPr>
                <w:rFonts w:ascii="Calibri" w:hAnsi="Calibri"/>
                <w:sz w:val="22"/>
              </w:rPr>
              <w:t>Q1 2026 operating loss wider than budgeted; management expects return to profitability as spot opportunities increase and contractual freight reprices through bid season; double-digit volume growth</w:t>
            </w:r>
          </w:p>
        </w:tc>
        <w:tc>
          <w:tcPr>
            <w:tcW w:type="dxa" w:w="2160"/>
          </w:tcPr>
          <w:p>
            <w:r>
              <w:rPr>
                <w:rFonts w:ascii="Calibri" w:hAnsi="Calibri"/>
                <w:sz w:val="22"/>
              </w:rPr>
              <w:t>Montgomery ruling (May 14, 2026) — Supreme Court 9-0 ruling removes federal preemption shield for brokers; JBHT views its vetting practices as above industry average; medium-term positive for rates as insurance costs rise across brokerage industry</w:t>
            </w:r>
          </w:p>
        </w:tc>
        <w:tc>
          <w:tcPr>
            <w:tcW w:type="dxa" w:w="2160"/>
          </w:tcPr>
          <w:p>
            <w:r>
              <w:rPr>
                <w:rFonts w:ascii="Calibri" w:hAnsi="Calibri"/>
                <w:b/>
                <w:color w:val="30A46C"/>
                <w:sz w:val="22"/>
              </w:rPr>
              <w:t>↑ More Positive (LT)</w:t>
            </w:r>
          </w:p>
        </w:tc>
      </w:tr>
      <w:tr>
        <w:tc>
          <w:tcPr>
            <w:tcW w:type="dxa" w:w="2160"/>
          </w:tcPr>
          <w:p>
            <w:r>
              <w:rPr>
                <w:rFonts w:ascii="Calibri" w:hAnsi="Calibri"/>
                <w:sz w:val="22"/>
              </w:rPr>
              <w:t>Intermodal Volume</w:t>
            </w:r>
          </w:p>
        </w:tc>
        <w:tc>
          <w:tcPr>
            <w:tcW w:type="dxa" w:w="2160"/>
          </w:tcPr>
          <w:p>
            <w:r>
              <w:rPr>
                <w:rFonts w:ascii="Calibri" w:hAnsi="Calibri"/>
                <w:sz w:val="22"/>
              </w:rPr>
              <w:t>JBT volume up double digits for four consecutive quarters; market share capture continuing despite pricing pressure</w:t>
            </w:r>
          </w:p>
        </w:tc>
        <w:tc>
          <w:tcPr>
            <w:tcW w:type="dxa" w:w="2160"/>
          </w:tcPr>
          <w:p>
            <w:r>
              <w:rPr>
                <w:rFonts w:ascii="Calibri" w:hAnsi="Calibri"/>
                <w:sz w:val="22"/>
              </w:rPr>
              <w:t>Consensus expects 557K loads in Q2 2026 vs. 525K in Q2 2025 (+6.1%); sequential improvement from Q1’s 537K loads</w:t>
            </w:r>
          </w:p>
        </w:tc>
        <w:tc>
          <w:tcPr>
            <w:tcW w:type="dxa" w:w="2160"/>
          </w:tcPr>
          <w:p>
            <w:r>
              <w:rPr>
                <w:rFonts w:ascii="Calibri" w:hAnsi="Calibri"/>
                <w:b/>
                <w:color w:val="002FA7"/>
                <w:sz w:val="22"/>
              </w:rPr>
              <w:t>→ Unchanged / On Track</w:t>
            </w:r>
          </w:p>
        </w:tc>
      </w:tr>
      <w:tr>
        <w:tc>
          <w:tcPr>
            <w:tcW w:type="dxa" w:w="2160"/>
          </w:tcPr>
          <w:p>
            <w:r>
              <w:rPr>
                <w:rFonts w:ascii="Calibri" w:hAnsi="Calibri"/>
                <w:sz w:val="22"/>
              </w:rPr>
              <w:t>Rail Merger (UP/SP)</w:t>
            </w:r>
          </w:p>
        </w:tc>
        <w:tc>
          <w:tcPr>
            <w:tcW w:type="dxa" w:w="2160"/>
          </w:tcPr>
          <w:p>
            <w:r>
              <w:rPr>
                <w:rFonts w:ascii="Calibri" w:hAnsi="Calibri"/>
                <w:sz w:val="22"/>
              </w:rPr>
              <w:t>Awaiting formal merger application before developing detailed public commentary; UP incentive programs cited as unusual competitive dynamic</w:t>
            </w:r>
          </w:p>
        </w:tc>
        <w:tc>
          <w:tcPr>
            <w:tcW w:type="dxa" w:w="2160"/>
          </w:tcPr>
          <w:p>
            <w:r>
              <w:rPr>
                <w:rFonts w:ascii="Calibri" w:hAnsi="Calibri"/>
                <w:sz w:val="22"/>
              </w:rPr>
              <w:t>No update; formal application still pending. Remains a medium-term overhang on TransCon intermodal pricing</w:t>
            </w:r>
          </w:p>
        </w:tc>
        <w:tc>
          <w:tcPr>
            <w:tcW w:type="dxa" w:w="2160"/>
          </w:tcPr>
          <w:p>
            <w:r>
              <w:rPr>
                <w:rFonts w:ascii="Calibri" w:hAnsi="Calibri"/>
                <w:b/>
                <w:color w:val="E5484D"/>
                <w:sz w:val="22"/>
              </w:rPr>
              <w:t>↓ Ongoing Risk</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materially higher since Q1 earnings — </w:t>
      </w:r>
      <w:r>
        <w:rPr>
          <w:rFonts w:ascii="Calibri" w:hAnsi="Calibri"/>
          <w:b/>
          <w:color w:val="525866"/>
          <w:sz w:val="22"/>
        </w:rPr>
        <w:t>Q2 2026 operating EPS consensus has risen from ~$1.44 (the Q1 2026 consensus at the time of Q1 reporting) to $1.72 today (+19.4%)</w:t>
      </w:r>
      <w:r>
        <w:rPr>
          <w:rFonts w:ascii="Calibri" w:hAnsi="Calibri"/>
          <w:color w:val="525866"/>
          <w:sz w:val="22"/>
        </w:rPr>
        <w:t>, reflecting the market’s growing confidence in cost execution and freight market recovery. The revision trajectory is positive but the stock has moved even faster, compressing the cushion for further upside.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Consensus at Q1 2026 Earnings (Apr 15)</w:t>
            </w:r>
          </w:p>
        </w:tc>
        <w:tc>
          <w:tcPr>
            <w:tcW w:type="dxa" w:w="1728"/>
            <w:shd w:val="clear" w:color="auto" w:fill="3B4259"/>
          </w:tcPr>
          <w:p>
            <w:r>
              <w:rPr>
                <w:rFonts w:ascii="Calibri" w:hAnsi="Calibri"/>
                <w:b/>
                <w:color w:val="FFFFFF"/>
                <w:sz w:val="22"/>
              </w:rPr>
              <w:t>Current Consensus (Jul 14, 2026)</w:t>
            </w:r>
          </w:p>
        </w:tc>
        <w:tc>
          <w:tcPr>
            <w:tcW w:type="dxa" w:w="1728"/>
            <w:shd w:val="clear" w:color="auto" w:fill="3B4259"/>
          </w:tcPr>
          <w:p>
            <w:r>
              <w:rPr>
                <w:rFonts w:ascii="Calibri" w:hAnsi="Calibri"/>
                <w:b/>
                <w:color w:val="FFFFFF"/>
                <w:sz w:val="22"/>
              </w:rPr>
              <w:t>Revision Direction</w:t>
            </w:r>
          </w:p>
        </w:tc>
        <w:tc>
          <w:tcPr>
            <w:tcW w:type="dxa" w:w="1728"/>
            <w:shd w:val="clear" w:color="auto" w:fill="3B4259"/>
          </w:tcPr>
          <w:p>
            <w:r>
              <w:rPr>
                <w:rFonts w:ascii="Calibri" w:hAnsi="Calibri"/>
                <w:b/>
                <w:color w:val="FFFFFF"/>
                <w:sz w:val="22"/>
              </w:rPr>
              <w:t>% Change</w:t>
            </w:r>
          </w:p>
        </w:tc>
      </w:tr>
      <w:tr>
        <w:tc>
          <w:tcPr>
            <w:tcW w:type="dxa" w:w="1728"/>
          </w:tcPr>
          <w:p>
            <w:r>
              <w:rPr>
                <w:rFonts w:ascii="Calibri" w:hAnsi="Calibri"/>
                <w:sz w:val="22"/>
              </w:rPr>
              <w:t>Q2 2026 Operating EPS</w:t>
            </w:r>
          </w:p>
        </w:tc>
        <w:tc>
          <w:tcPr>
            <w:tcW w:type="dxa" w:w="1728"/>
          </w:tcPr>
          <w:p>
            <w:r>
              <w:rPr>
                <w:rFonts w:ascii="Calibri" w:hAnsi="Calibri"/>
                <w:sz w:val="22"/>
              </w:rPr>
              <w:t>~$1.44 (Q1 2026 cons. at time of Q1 report)</w:t>
            </w:r>
          </w:p>
        </w:tc>
        <w:tc>
          <w:tcPr>
            <w:tcW w:type="dxa" w:w="1728"/>
          </w:tcPr>
          <w:p>
            <w:r>
              <w:rPr>
                <w:rFonts w:ascii="Calibri" w:hAnsi="Calibri"/>
                <w:sz w:val="22"/>
              </w:rPr>
              <w:t>$1.721</w:t>
            </w:r>
          </w:p>
        </w:tc>
        <w:tc>
          <w:tcPr>
            <w:tcW w:type="dxa" w:w="1728"/>
          </w:tcPr>
          <w:p>
            <w:r>
              <w:rPr>
                <w:rFonts w:ascii="Calibri" w:hAnsi="Calibri"/>
                <w:b/>
                <w:color w:val="30A46C"/>
                <w:sz w:val="22"/>
              </w:rPr>
              <w:t>↑ Higher</w:t>
            </w:r>
          </w:p>
        </w:tc>
        <w:tc>
          <w:tcPr>
            <w:tcW w:type="dxa" w:w="1728"/>
          </w:tcPr>
          <w:p>
            <w:r>
              <w:rPr>
                <w:rFonts w:ascii="Calibri" w:hAnsi="Calibri"/>
                <w:b/>
                <w:color w:val="30A46C"/>
                <w:sz w:val="22"/>
              </w:rPr>
              <w:t>+19.4%</w:t>
            </w:r>
          </w:p>
        </w:tc>
      </w:tr>
      <w:tr>
        <w:tc>
          <w:tcPr>
            <w:tcW w:type="dxa" w:w="1728"/>
          </w:tcPr>
          <w:p>
            <w:r>
              <w:rPr>
                <w:rFonts w:ascii="Calibri" w:hAnsi="Calibri"/>
                <w:sz w:val="22"/>
              </w:rPr>
              <w:t>Q2 2026 Total Revenue</w:t>
            </w:r>
          </w:p>
        </w:tc>
        <w:tc>
          <w:tcPr>
            <w:tcW w:type="dxa" w:w="1728"/>
          </w:tcPr>
          <w:p>
            <w:r>
              <w:rPr>
                <w:rFonts w:ascii="Calibri" w:hAnsi="Calibri"/>
                <w:sz w:val="22"/>
              </w:rPr>
              <w:t>~$2.919B (Q2 2025 cons. as proxy)</w:t>
            </w:r>
          </w:p>
        </w:tc>
        <w:tc>
          <w:tcPr>
            <w:tcW w:type="dxa" w:w="1728"/>
          </w:tcPr>
          <w:p>
            <w:r>
              <w:rPr>
                <w:rFonts w:ascii="Calibri" w:hAnsi="Calibri"/>
                <w:sz w:val="22"/>
              </w:rPr>
              <w:t>$3.249B</w:t>
            </w:r>
          </w:p>
        </w:tc>
        <w:tc>
          <w:tcPr>
            <w:tcW w:type="dxa" w:w="1728"/>
          </w:tcPr>
          <w:p>
            <w:r>
              <w:rPr>
                <w:rFonts w:ascii="Calibri" w:hAnsi="Calibri"/>
                <w:b/>
                <w:color w:val="30A46C"/>
                <w:sz w:val="22"/>
              </w:rPr>
              <w:t>↑ Higher</w:t>
            </w:r>
          </w:p>
        </w:tc>
        <w:tc>
          <w:tcPr>
            <w:tcW w:type="dxa" w:w="1728"/>
          </w:tcPr>
          <w:p>
            <w:r>
              <w:rPr>
                <w:rFonts w:ascii="Calibri" w:hAnsi="Calibri"/>
                <w:b/>
                <w:color w:val="30A46C"/>
                <w:sz w:val="22"/>
              </w:rPr>
              <w:t>+11.3%</w:t>
            </w:r>
          </w:p>
        </w:tc>
      </w:tr>
      <w:tr>
        <w:tc>
          <w:tcPr>
            <w:tcW w:type="dxa" w:w="1728"/>
          </w:tcPr>
          <w:p>
            <w:r>
              <w:rPr>
                <w:rFonts w:ascii="Calibri" w:hAnsi="Calibri"/>
                <w:sz w:val="22"/>
              </w:rPr>
              <w:t>Q2 2026 Operating Income</w:t>
            </w:r>
          </w:p>
        </w:tc>
        <w:tc>
          <w:tcPr>
            <w:tcW w:type="dxa" w:w="1728"/>
          </w:tcPr>
          <w:p>
            <w:r>
              <w:rPr>
                <w:rFonts w:ascii="Calibri" w:hAnsi="Calibri"/>
                <w:sz w:val="22"/>
              </w:rPr>
              <w:t>~$192M (Q2 2025 cons. as proxy)</w:t>
            </w:r>
          </w:p>
        </w:tc>
        <w:tc>
          <w:tcPr>
            <w:tcW w:type="dxa" w:w="1728"/>
          </w:tcPr>
          <w:p>
            <w:r>
              <w:rPr>
                <w:rFonts w:ascii="Calibri" w:hAnsi="Calibri"/>
                <w:sz w:val="22"/>
              </w:rPr>
              <w:t>$240.6M</w:t>
            </w:r>
          </w:p>
        </w:tc>
        <w:tc>
          <w:tcPr>
            <w:tcW w:type="dxa" w:w="1728"/>
          </w:tcPr>
          <w:p>
            <w:r>
              <w:rPr>
                <w:rFonts w:ascii="Calibri" w:hAnsi="Calibri"/>
                <w:b/>
                <w:color w:val="30A46C"/>
                <w:sz w:val="22"/>
              </w:rPr>
              <w:t>↑ Higher</w:t>
            </w:r>
          </w:p>
        </w:tc>
        <w:tc>
          <w:tcPr>
            <w:tcW w:type="dxa" w:w="1728"/>
          </w:tcPr>
          <w:p>
            <w:r>
              <w:rPr>
                <w:rFonts w:ascii="Calibri" w:hAnsi="Calibri"/>
                <w:b/>
                <w:color w:val="30A46C"/>
                <w:sz w:val="22"/>
              </w:rPr>
              <w:t>+25.3%</w:t>
            </w:r>
          </w:p>
        </w:tc>
      </w:tr>
      <w:tr>
        <w:tc>
          <w:tcPr>
            <w:tcW w:type="dxa" w:w="1728"/>
          </w:tcPr>
          <w:p>
            <w:r>
              <w:rPr>
                <w:rFonts w:ascii="Calibri" w:hAnsi="Calibri"/>
                <w:sz w:val="22"/>
              </w:rPr>
              <w:t>Q2 2026 Intermodal Revenue</w:t>
            </w:r>
          </w:p>
        </w:tc>
        <w:tc>
          <w:tcPr>
            <w:tcW w:type="dxa" w:w="1728"/>
          </w:tcPr>
          <w:p>
            <w:r>
              <w:rPr>
                <w:rFonts w:ascii="Calibri" w:hAnsi="Calibri"/>
                <w:sz w:val="22"/>
              </w:rPr>
              <w:t>~$1.447B (Q2 2025 cons. as proxy)</w:t>
            </w:r>
          </w:p>
        </w:tc>
        <w:tc>
          <w:tcPr>
            <w:tcW w:type="dxa" w:w="1728"/>
          </w:tcPr>
          <w:p>
            <w:r>
              <w:rPr>
                <w:rFonts w:ascii="Calibri" w:hAnsi="Calibri"/>
                <w:sz w:val="22"/>
              </w:rPr>
              <w:t>$1.613B</w:t>
            </w:r>
          </w:p>
        </w:tc>
        <w:tc>
          <w:tcPr>
            <w:tcW w:type="dxa" w:w="1728"/>
          </w:tcPr>
          <w:p>
            <w:r>
              <w:rPr>
                <w:rFonts w:ascii="Calibri" w:hAnsi="Calibri"/>
                <w:b/>
                <w:color w:val="30A46C"/>
                <w:sz w:val="22"/>
              </w:rPr>
              <w:t>↑ Higher</w:t>
            </w:r>
          </w:p>
        </w:tc>
        <w:tc>
          <w:tcPr>
            <w:tcW w:type="dxa" w:w="1728"/>
          </w:tcPr>
          <w:p>
            <w:r>
              <w:rPr>
                <w:rFonts w:ascii="Calibri" w:hAnsi="Calibri"/>
                <w:b/>
                <w:color w:val="30A46C"/>
                <w:sz w:val="22"/>
              </w:rPr>
              <w:t>+11.5%</w:t>
            </w:r>
          </w:p>
        </w:tc>
      </w:tr>
      <w:tr>
        <w:tc>
          <w:tcPr>
            <w:tcW w:type="dxa" w:w="1728"/>
          </w:tcPr>
          <w:p>
            <w:r>
              <w:rPr>
                <w:rFonts w:ascii="Calibri" w:hAnsi="Calibri"/>
                <w:sz w:val="22"/>
              </w:rPr>
              <w:t>Q2 2026 Intermodal Rev/Load</w:t>
            </w:r>
          </w:p>
        </w:tc>
        <w:tc>
          <w:tcPr>
            <w:tcW w:type="dxa" w:w="1728"/>
          </w:tcPr>
          <w:p>
            <w:r>
              <w:rPr>
                <w:rFonts w:ascii="Calibri" w:hAnsi="Calibri"/>
                <w:sz w:val="22"/>
              </w:rPr>
              <w:t>~$2,769 (Q2 2025 cons. as proxy)</w:t>
            </w:r>
          </w:p>
        </w:tc>
        <w:tc>
          <w:tcPr>
            <w:tcW w:type="dxa" w:w="1728"/>
          </w:tcPr>
          <w:p>
            <w:r>
              <w:rPr>
                <w:rFonts w:ascii="Calibri" w:hAnsi="Calibri"/>
                <w:sz w:val="22"/>
              </w:rPr>
              <w:t>$2,894</w:t>
            </w:r>
          </w:p>
        </w:tc>
        <w:tc>
          <w:tcPr>
            <w:tcW w:type="dxa" w:w="1728"/>
          </w:tcPr>
          <w:p>
            <w:r>
              <w:rPr>
                <w:rFonts w:ascii="Calibri" w:hAnsi="Calibri"/>
                <w:b/>
                <w:color w:val="30A46C"/>
                <w:sz w:val="22"/>
              </w:rPr>
              <w:t>↑ Higher</w:t>
            </w:r>
          </w:p>
        </w:tc>
        <w:tc>
          <w:tcPr>
            <w:tcW w:type="dxa" w:w="1728"/>
          </w:tcPr>
          <w:p>
            <w:r>
              <w:rPr>
                <w:rFonts w:ascii="Calibri" w:hAnsi="Calibri"/>
                <w:b/>
                <w:color w:val="30A46C"/>
                <w:sz w:val="22"/>
              </w:rPr>
              <w:t>+4.5%</w:t>
            </w:r>
          </w:p>
        </w:tc>
      </w:tr>
      <w:tr>
        <w:tc>
          <w:tcPr>
            <w:tcW w:type="dxa" w:w="1728"/>
          </w:tcPr>
          <w:p>
            <w:r>
              <w:rPr>
                <w:rFonts w:ascii="Calibri" w:hAnsi="Calibri"/>
                <w:sz w:val="22"/>
              </w:rPr>
              <w:t>FY2026 Operating EPS</w:t>
            </w:r>
          </w:p>
        </w:tc>
        <w:tc>
          <w:tcPr>
            <w:tcW w:type="dxa" w:w="1728"/>
          </w:tcPr>
          <w:p>
            <w:r>
              <w:rPr>
                <w:rFonts w:ascii="Calibri" w:hAnsi="Calibri"/>
                <w:sz w:val="22"/>
              </w:rPr>
              <w:t>N/A — not available as of Q1 report date</w:t>
            </w:r>
          </w:p>
        </w:tc>
        <w:tc>
          <w:tcPr>
            <w:tcW w:type="dxa" w:w="1728"/>
          </w:tcPr>
          <w:p>
            <w:r>
              <w:rPr>
                <w:rFonts w:ascii="Calibri" w:hAnsi="Calibri"/>
                <w:sz w:val="22"/>
              </w:rPr>
              <w:t>$7.466</w:t>
            </w:r>
          </w:p>
        </w:tc>
        <w:tc>
          <w:tcPr>
            <w:tcW w:type="dxa" w:w="1728"/>
          </w:tcPr>
          <w:p>
            <w:r>
              <w:rPr>
                <w:rFonts w:ascii="Calibri" w:hAnsi="Calibri"/>
                <w:sz w:val="22"/>
              </w:rPr>
              <w:t>↑ Higher</w:t>
            </w:r>
          </w:p>
        </w:tc>
        <w:tc>
          <w:tcPr>
            <w:tcW w:type="dxa" w:w="1728"/>
          </w:tcPr>
          <w:p>
            <w:r>
              <w:rPr>
                <w:rFonts w:ascii="Calibri" w:hAnsi="Calibri"/>
                <w:sz w:val="22"/>
              </w:rPr>
              <w:t>N/A</w:t>
            </w:r>
          </w:p>
        </w:tc>
      </w:tr>
      <w:tr>
        <w:tc>
          <w:tcPr>
            <w:tcW w:type="dxa" w:w="1728"/>
          </w:tcPr>
          <w:p>
            <w:r>
              <w:rPr>
                <w:rFonts w:ascii="Calibri" w:hAnsi="Calibri"/>
                <w:sz w:val="22"/>
              </w:rPr>
              <w:t>FY2027 Operating EPS</w:t>
            </w:r>
          </w:p>
        </w:tc>
        <w:tc>
          <w:tcPr>
            <w:tcW w:type="dxa" w:w="1728"/>
          </w:tcPr>
          <w:p>
            <w:r>
              <w:rPr>
                <w:rFonts w:ascii="Calibri" w:hAnsi="Calibri"/>
                <w:sz w:val="22"/>
              </w:rPr>
              <w:t>N/A — not available as of Q1 report date</w:t>
            </w:r>
          </w:p>
        </w:tc>
        <w:tc>
          <w:tcPr>
            <w:tcW w:type="dxa" w:w="1728"/>
          </w:tcPr>
          <w:p>
            <w:r>
              <w:rPr>
                <w:rFonts w:ascii="Calibri" w:hAnsi="Calibri"/>
                <w:sz w:val="22"/>
              </w:rPr>
              <w:t>$9.633</w:t>
            </w:r>
          </w:p>
        </w:tc>
        <w:tc>
          <w:tcPr>
            <w:tcW w:type="dxa" w:w="1728"/>
          </w:tcPr>
          <w:p>
            <w:r>
              <w:rPr>
                <w:rFonts w:ascii="Calibri" w:hAnsi="Calibri"/>
                <w:sz w:val="22"/>
              </w:rPr>
              <w:t>↑ Higher</w:t>
            </w:r>
          </w:p>
        </w:tc>
        <w:tc>
          <w:tcPr>
            <w:tcW w:type="dxa" w:w="1728"/>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Prior-period consensus figures used as proxies where point-in-time Q1 2026 report-date estimates were unavailable from Visible Alpha. Current consensus figures sourced from Visible Alpha Consensus and Actuals Data as of July 14,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JBHT has been a standout outperformer since Q1 earnings — </w:t>
      </w:r>
      <w:r>
        <w:rPr>
          <w:rFonts w:ascii="Calibri" w:hAnsi="Calibri"/>
          <w:b/>
          <w:color w:val="525866"/>
          <w:sz w:val="22"/>
        </w:rPr>
        <w:t>+25.3% vs. IYT +10.9% and SPY +7.4% since April 15</w:t>
      </w:r>
      <w:r>
        <w:rPr>
          <w:rFonts w:ascii="Calibri" w:hAnsi="Calibri"/>
          <w:color w:val="525866"/>
          <w:sz w:val="22"/>
        </w:rPr>
        <w:t xml:space="preserve"> — reflecting the market’s growing conviction in the freight cycle recovery and JBHT’s cost execution. The stock is now trading near the high end of analyst price targets, meaning a beat is partially priced in and the risk/reward is more balanced heading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JBHT vs. IYT (Transport ETF) vs. S&amp;P 500 (SPY) — Indexed to 100 at Q1 2026 Earnings (April 15,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JBHT</w:t>
            </w:r>
          </w:p>
        </w:tc>
        <w:tc>
          <w:tcPr>
            <w:tcW w:type="dxa" w:w="2160"/>
            <w:shd w:val="clear" w:color="auto" w:fill="3B4259"/>
          </w:tcPr>
          <w:p>
            <w:r>
              <w:rPr>
                <w:rFonts w:ascii="Calibri" w:hAnsi="Calibri"/>
                <w:b/>
                <w:color w:val="FFFFFF"/>
                <w:sz w:val="22"/>
              </w:rPr>
              <w:t>IYT (Transport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15, 2026)</w:t>
            </w:r>
          </w:p>
        </w:tc>
        <w:tc>
          <w:tcPr>
            <w:tcW w:type="dxa" w:w="2160"/>
          </w:tcPr>
          <w:p>
            <w:r>
              <w:rPr>
                <w:rFonts w:ascii="Calibri" w:hAnsi="Calibri"/>
                <w:sz w:val="22"/>
              </w:rPr>
              <w:t>$224.17</w:t>
            </w:r>
          </w:p>
        </w:tc>
        <w:tc>
          <w:tcPr>
            <w:tcW w:type="dxa" w:w="2160"/>
          </w:tcPr>
          <w:p>
            <w:r>
              <w:rPr>
                <w:rFonts w:ascii="Calibri" w:hAnsi="Calibri"/>
                <w:sz w:val="22"/>
              </w:rPr>
              <w:t>$79.00</w:t>
            </w:r>
          </w:p>
        </w:tc>
        <w:tc>
          <w:tcPr>
            <w:tcW w:type="dxa" w:w="2160"/>
          </w:tcPr>
          <w:p>
            <w:r>
              <w:rPr>
                <w:rFonts w:ascii="Calibri" w:hAnsi="Calibri"/>
                <w:sz w:val="22"/>
              </w:rPr>
              <w:t>$699.94</w:t>
            </w:r>
          </w:p>
        </w:tc>
      </w:tr>
      <w:tr>
        <w:tc>
          <w:tcPr>
            <w:tcW w:type="dxa" w:w="2160"/>
          </w:tcPr>
          <w:p>
            <w:r>
              <w:rPr>
                <w:rFonts w:ascii="Calibri" w:hAnsi="Calibri"/>
                <w:sz w:val="22"/>
              </w:rPr>
              <w:t>Current Price (Jul 14, 2026)</w:t>
            </w:r>
          </w:p>
        </w:tc>
        <w:tc>
          <w:tcPr>
            <w:tcW w:type="dxa" w:w="2160"/>
          </w:tcPr>
          <w:p>
            <w:r>
              <w:rPr>
                <w:rFonts w:ascii="Calibri" w:hAnsi="Calibri"/>
                <w:sz w:val="22"/>
              </w:rPr>
              <w:t>$280.87</w:t>
            </w:r>
          </w:p>
        </w:tc>
        <w:tc>
          <w:tcPr>
            <w:tcW w:type="dxa" w:w="2160"/>
          </w:tcPr>
          <w:p>
            <w:r>
              <w:rPr>
                <w:rFonts w:ascii="Calibri" w:hAnsi="Calibri"/>
                <w:sz w:val="22"/>
              </w:rPr>
              <w:t>$87.62</w:t>
            </w:r>
          </w:p>
        </w:tc>
        <w:tc>
          <w:tcPr>
            <w:tcW w:type="dxa" w:w="2160"/>
          </w:tcPr>
          <w:p>
            <w:r>
              <w:rPr>
                <w:rFonts w:ascii="Calibri" w:hAnsi="Calibri"/>
                <w:sz w:val="22"/>
              </w:rPr>
              <w:t>$751.83</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+25.3%</w:t>
            </w:r>
          </w:p>
        </w:tc>
        <w:tc>
          <w:tcPr>
            <w:tcW w:type="dxa" w:w="2160"/>
          </w:tcPr>
          <w:p>
            <w:r>
              <w:rPr>
                <w:rFonts w:ascii="Calibri" w:hAnsi="Calibri"/>
                <w:sz w:val="22"/>
              </w:rPr>
              <w:t>+10.9%</w:t>
            </w:r>
          </w:p>
        </w:tc>
        <w:tc>
          <w:tcPr>
            <w:tcW w:type="dxa" w:w="2160"/>
          </w:tcPr>
          <w:p>
            <w:r>
              <w:rPr>
                <w:rFonts w:ascii="Calibri" w:hAnsi="Calibri"/>
                <w:sz w:val="22"/>
              </w:rPr>
              <w:t>+7.4%</w:t>
            </w:r>
          </w:p>
        </w:tc>
      </w:tr>
      <w:tr>
        <w:tc>
          <w:tcPr>
            <w:tcW w:type="dxa" w:w="2160"/>
          </w:tcPr>
          <w:p>
            <w:r>
              <w:rPr>
                <w:rFonts w:ascii="Calibri" w:hAnsi="Calibri"/>
                <w:sz w:val="22"/>
              </w:rPr>
              <w:t>52-Week High / Low</w:t>
            </w:r>
          </w:p>
        </w:tc>
        <w:tc>
          <w:tcPr>
            <w:tcW w:type="dxa" w:w="2160"/>
          </w:tcPr>
          <w:p>
            <w:r>
              <w:rPr>
                <w:rFonts w:ascii="Calibri" w:hAnsi="Calibri"/>
                <w:sz w:val="22"/>
              </w:rPr>
              <w:t>$290.07 / $224.17</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 from 52-Week High</w:t>
            </w:r>
          </w:p>
        </w:tc>
        <w:tc>
          <w:tcPr>
            <w:tcW w:type="dxa" w:w="2160"/>
          </w:tcPr>
          <w:p>
            <w:r>
              <w:rPr>
                <w:rFonts w:ascii="Calibri" w:hAnsi="Calibri"/>
                <w:sz w:val="22"/>
              </w:rPr>
              <w:t>-3.2%</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i/>
          <w:color w:val="525866"/>
          <w:sz w:val="22"/>
        </w:rPr>
        <w:t>Source: Stock Price Data. 52-week high/low calculated from the available dataset window (April 14 – July 14, 2026). JBHT hit its intra-period high of $290.07 on July 1, 2026.</w:t>
      </w:r>
    </w:p>
    <w:p>
      <w:r>
        <w:rPr>
          <w:rFonts w:ascii="Calibri" w:hAnsi="Calibri"/>
          <w:b/>
          <w:color w:val="525866"/>
          <w:sz w:val="22"/>
        </w:rPr>
        <w:t xml:space="preserve">Key Observations: </w:t>
      </w:r>
      <w:r>
        <w:rPr>
          <w:rFonts w:ascii="Calibri" w:hAnsi="Calibri"/>
          <w:color w:val="525866"/>
          <w:sz w:val="22"/>
        </w:rPr>
        <w:t>JBHT’s outperformance vs. IYT (+14.4 ppts) and SPY (+17.9 ppts) since Q1 earnings is substantial and reflects both sector rotation into freight recovery names and JBHT-specific confidence in cost execution. The stock pulled back from its July 1 high of $290.07 to $280.87 today (-3.2%), suggesting some profit-taking ahead of the print. At current levels, JBHT trades at approximately 37x NTM operating EPS ($7.47 FY2026 consensus), a premium to historical averages that implies the market is pricing in a sustained freight recovery — leaving the stock vulnerable to any disappointment on intermodal pricing or volume guidance.</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since JBHT’s Q1 2026 earnings (April 15) is uniformly constructive on freight market tightening, volume acceleration, and pricing recovery — </w:t>
      </w:r>
      <w:r>
        <w:rPr>
          <w:rFonts w:ascii="Calibri" w:hAnsi="Calibri"/>
          <w:b/>
          <w:color w:val="525866"/>
          <w:sz w:val="22"/>
        </w:rPr>
        <w:t>all pointing to a favorable setup for JBHT’s Q2 2026 print</w:t>
      </w:r>
      <w:r>
        <w:rPr>
          <w:rFonts w:ascii="Calibri" w:hAnsi="Calibri"/>
          <w:color w:val="525866"/>
          <w:sz w:val="22"/>
        </w:rPr>
        <w:t>. The most actionable read-throughs come from ODFL (LTL volume acceleration and truckload-to-LTL freight spill), SAIA (April tonnage +6.5% YoY), KNX (truckload market tightening), and CHRW (bid season pricing momentum and Montgomery ruling implications for brokerage consolidation).</w:t>
      </w:r>
    </w:p>
    <w:p>
      <w:pPr>
        <w:pStyle w:val="Heading3"/>
      </w:pPr>
      <w:r>
        <w:rPr>
          <w:rFonts w:ascii="Calibri" w:hAnsi="Calibri"/>
          <w:b/>
          <w:color w:val="3B4259"/>
          <w:sz w:val="24"/>
        </w:rPr>
        <w:t>Old Dominion Freight Line (ODFL) — Q1 2026 Earnings Call (April 29, 2026)</w:t>
      </w:r>
    </w:p>
    <w:p>
      <w:r>
        <w:rPr>
          <w:rFonts w:ascii="Calibri" w:hAnsi="Calibri"/>
          <w:b/>
          <w:color w:val="525866"/>
          <w:sz w:val="22"/>
        </w:rPr>
        <w:t xml:space="preserve">Read-Through Relevance: </w:t>
      </w:r>
      <w:r>
        <w:rPr>
          <w:rFonts w:ascii="Calibri" w:hAnsi="Calibri"/>
          <w:color w:val="525866"/>
          <w:sz w:val="22"/>
        </w:rPr>
        <w:t>HIGH — ODFL’s commentary on truckload market tightening and freight spill back into LTL is a direct positive read-through for JBHT’s intermodal volumes and pricing.</w:t>
      </w:r>
    </w:p>
    <w:p>
      <w:pPr>
        <w:pStyle w:val="ListBullet"/>
        <w:ind w:left="360" w:hanging="360"/>
      </w:pPr>
      <w:r>
        <w:rPr>
          <w:rFonts w:ascii="Calibri" w:hAnsi="Calibri"/>
          <w:b/>
          <w:color w:val="525866"/>
          <w:sz w:val="22"/>
        </w:rPr>
        <w:t xml:space="preserve">Truckload market tightening is supply-driven: </w:t>
      </w:r>
      <w:r>
        <w:rPr>
          <w:rFonts w:ascii="Calibri" w:hAnsi="Calibri"/>
          <w:color w:val="525866"/>
          <w:sz w:val="22"/>
        </w:rPr>
        <w:t>ODFL management stated the “truckload market clearly has gotten a lot tighter” and characterized it as supply-driven. This is leading to “typical spill from truckload back into LTL” as shippers who had been consolidating loads revert to moving more freight via LTL. JBHT read-through: tighter truckload market supports intermodal volume growth and pricing power as shippers seek alternatives.</w:t>
      </w:r>
    </w:p>
    <w:p>
      <w:pPr>
        <w:pStyle w:val="ListBullet"/>
        <w:ind w:left="360" w:hanging="360"/>
      </w:pPr>
      <w:r>
        <w:rPr>
          <w:rFonts w:ascii="Calibri" w:hAnsi="Calibri"/>
          <w:b/>
          <w:color w:val="525866"/>
          <w:sz w:val="22"/>
        </w:rPr>
        <w:t xml:space="preserve">April demand acceleration: </w:t>
      </w:r>
      <w:r>
        <w:rPr>
          <w:rFonts w:ascii="Calibri" w:hAnsi="Calibri"/>
          <w:color w:val="525866"/>
          <w:sz w:val="22"/>
        </w:rPr>
        <w:t>April month-to-date revenue per day increased approximately 7.0% vs. April 2025. LTL tons per day were down ~6.5% YoY but weight per shipment was up over 1% YoY — a leading indicator of improving demand. JBHT read-through: improving freight demand in April supports Q2 2026 intermodal volume expectations.</w:t>
      </w:r>
    </w:p>
    <w:p>
      <w:pPr>
        <w:pStyle w:val="ListBullet"/>
        <w:ind w:left="360" w:hanging="360"/>
      </w:pPr>
      <w:r>
        <w:rPr>
          <w:rFonts w:ascii="Calibri" w:hAnsi="Calibri"/>
          <w:b/>
          <w:color w:val="525866"/>
          <w:sz w:val="22"/>
        </w:rPr>
        <w:t xml:space="preserve">Q2 2026 OR improvement guidance: </w:t>
      </w:r>
      <w:r>
        <w:rPr>
          <w:rFonts w:ascii="Calibri" w:hAnsi="Calibri"/>
          <w:color w:val="525866"/>
          <w:sz w:val="22"/>
        </w:rPr>
        <w:t>ODFL guided for 300–350 bps sequential OR improvement from Q1 to Q2, consistent with the 10-year average. Management expects “revenue growth in the second quarter” which “should lend itself to good earnings growth.” JBHT read-through: sector-wide margin improvement trajectory is intact.</w:t>
      </w:r>
    </w:p>
    <w:p>
      <w:pPr>
        <w:pStyle w:val="ListBullet"/>
        <w:ind w:left="360" w:hanging="360"/>
      </w:pPr>
      <w:r>
        <w:rPr>
          <w:rFonts w:ascii="Calibri" w:hAnsi="Calibri"/>
          <w:b/>
          <w:color w:val="525866"/>
          <w:sz w:val="22"/>
        </w:rPr>
        <w:t xml:space="preserve">Capacity context: </w:t>
      </w:r>
      <w:r>
        <w:rPr>
          <w:rFonts w:ascii="Calibri" w:hAnsi="Calibri"/>
          <w:color w:val="525866"/>
          <w:sz w:val="22"/>
        </w:rPr>
        <w:t>ODFL estimates only 5–10% excess capacity across the industry — “much less than what some people think about” — and notes that Yellow’s closure means the industry will be “even more capacity-constrained as we move forward.” JBHT read-through: structural capacity tightening supports the multi-quarter pricing recovery thesis.</w:t>
      </w:r>
    </w:p>
    <w:p>
      <w:pPr>
        <w:pStyle w:val="Heading3"/>
      </w:pPr>
      <w:r>
        <w:rPr>
          <w:rFonts w:ascii="Calibri" w:hAnsi="Calibri"/>
          <w:b/>
          <w:color w:val="3B4259"/>
          <w:sz w:val="24"/>
        </w:rPr>
        <w:t>Saia Inc. (SAIA) — Q1 2026 Earnings Call (April 30, 2026)</w:t>
      </w:r>
    </w:p>
    <w:p>
      <w:r>
        <w:rPr>
          <w:rFonts w:ascii="Calibri" w:hAnsi="Calibri"/>
          <w:b/>
          <w:color w:val="525866"/>
          <w:sz w:val="22"/>
        </w:rPr>
        <w:t xml:space="preserve">Read-Through Relevance: </w:t>
      </w:r>
      <w:r>
        <w:rPr>
          <w:rFonts w:ascii="Calibri" w:hAnsi="Calibri"/>
          <w:color w:val="525866"/>
          <w:sz w:val="22"/>
        </w:rPr>
        <w:t>HIGH — SAIA’s April tonnage data and pricing renewal rates provide real-time confirmation of freight market acceleration entering Q2 2026.</w:t>
      </w:r>
    </w:p>
    <w:p>
      <w:pPr>
        <w:pStyle w:val="ListBullet"/>
        <w:ind w:left="360" w:hanging="360"/>
      </w:pPr>
      <w:r>
        <w:rPr>
          <w:rFonts w:ascii="Calibri" w:hAnsi="Calibri"/>
          <w:b/>
          <w:color w:val="525866"/>
          <w:sz w:val="22"/>
        </w:rPr>
        <w:t xml:space="preserve">April tonnage surging: </w:t>
      </w:r>
      <w:r>
        <w:rPr>
          <w:rFonts w:ascii="Calibri" w:hAnsi="Calibri"/>
          <w:color w:val="525866"/>
          <w:sz w:val="22"/>
        </w:rPr>
        <w:t>April-to-date shipments were tracking up ~5.5% YoY and tonnage up ~6.5% YoY — a sharp acceleration from Q1’s mixed monthly trends (January -2.1%, February +0.3%, March +4.3% on shipments). JBHT read-through: April freight demand acceleration is consistent with JBHT’s intermodal volume consensus of 557K loads (+6.1% YoY).</w:t>
      </w:r>
    </w:p>
    <w:p>
      <w:pPr>
        <w:pStyle w:val="ListBullet"/>
        <w:ind w:left="360" w:hanging="360"/>
      </w:pPr>
      <w:r>
        <w:rPr>
          <w:rFonts w:ascii="Calibri" w:hAnsi="Calibri"/>
          <w:b/>
          <w:color w:val="525866"/>
          <w:sz w:val="22"/>
        </w:rPr>
        <w:t xml:space="preserve">Pricing renewal rates at multi-year highs: </w:t>
      </w:r>
      <w:r>
        <w:rPr>
          <w:rFonts w:ascii="Calibri" w:hAnsi="Calibri"/>
          <w:color w:val="525866"/>
          <w:sz w:val="22"/>
        </w:rPr>
        <w:t>Contractual renewals were 6.7% for Q1 2026, with March north of 7% — “the highest number that we’ve seen in quite a while.” JBHT read-through: broad-based pricing recovery across freight modes supports the intermodal revenue per load consensus of $2,894 (+5.7% YoY).</w:t>
      </w:r>
    </w:p>
    <w:p>
      <w:pPr>
        <w:pStyle w:val="ListBullet"/>
        <w:ind w:left="360" w:hanging="360"/>
      </w:pPr>
      <w:r>
        <w:rPr>
          <w:rFonts w:ascii="Calibri" w:hAnsi="Calibri"/>
          <w:b/>
          <w:color w:val="525866"/>
          <w:sz w:val="22"/>
        </w:rPr>
        <w:t xml:space="preserve">Q2 2026 margin guidance above historical: </w:t>
      </w:r>
      <w:r>
        <w:rPr>
          <w:rFonts w:ascii="Calibri" w:hAnsi="Calibri"/>
          <w:color w:val="525866"/>
          <w:sz w:val="22"/>
        </w:rPr>
        <w:t>SAIA guided for ~400–450 bps sequential OR improvement from Q1 to Q2, well above the historical 250–300 bps average, citing current momentum. JBHT read-through: above-seasonal margin improvement is achievable across the freight sector in Q2 2026.</w:t>
      </w:r>
    </w:p>
    <w:p>
      <w:pPr>
        <w:pStyle w:val="ListBullet"/>
        <w:ind w:left="360" w:hanging="360"/>
      </w:pPr>
      <w:r>
        <w:rPr>
          <w:rFonts w:ascii="Calibri" w:hAnsi="Calibri"/>
          <w:b/>
          <w:color w:val="525866"/>
          <w:sz w:val="22"/>
        </w:rPr>
        <w:t xml:space="preserve">Weight per shipment improving: </w:t>
      </w:r>
      <w:r>
        <w:rPr>
          <w:rFonts w:ascii="Calibri" w:hAnsi="Calibri"/>
          <w:color w:val="525866"/>
          <w:sz w:val="22"/>
        </w:rPr>
        <w:t>Weight per shipment improved sequentially each month of Q1 and was “up a touch” in April — a leading indicator of improving shipper sentiment and demand quality. JBHT read-through: improving freight quality supports intermodal revenue per load.</w:t>
      </w:r>
    </w:p>
    <w:p>
      <w:pPr>
        <w:pStyle w:val="Heading3"/>
      </w:pPr>
      <w:r>
        <w:rPr>
          <w:rFonts w:ascii="Calibri" w:hAnsi="Calibri"/>
          <w:b/>
          <w:color w:val="3B4259"/>
          <w:sz w:val="24"/>
        </w:rPr>
        <w:t>Knight-Swift Transportation (KNX) — Q1 2026 Earnings Call (April 22, 2026)</w:t>
      </w:r>
    </w:p>
    <w:p>
      <w:r>
        <w:rPr>
          <w:rFonts w:ascii="Calibri" w:hAnsi="Calibri"/>
          <w:b/>
          <w:color w:val="525866"/>
          <w:sz w:val="22"/>
        </w:rPr>
        <w:t xml:space="preserve">Read-Through Relevance: </w:t>
      </w:r>
      <w:r>
        <w:rPr>
          <w:rFonts w:ascii="Calibri" w:hAnsi="Calibri"/>
          <w:color w:val="525866"/>
          <w:sz w:val="22"/>
        </w:rPr>
        <w:t>HIGH — As the largest truckload carrier, KNX’s commentary on market tightening and routing guide breakdowns is a direct read-through for JBHT’s intermodal pricing and volume outlook.</w:t>
      </w:r>
    </w:p>
    <w:p>
      <w:pPr>
        <w:pStyle w:val="ListBullet"/>
        <w:ind w:left="360" w:hanging="360"/>
      </w:pPr>
      <w:r>
        <w:rPr>
          <w:rFonts w:ascii="Calibri" w:hAnsi="Calibri"/>
          <w:b/>
          <w:color w:val="525866"/>
          <w:sz w:val="22"/>
        </w:rPr>
        <w:t xml:space="preserve">Truckload market tightening confirmed: </w:t>
      </w:r>
      <w:r>
        <w:rPr>
          <w:rFonts w:ascii="Calibri" w:hAnsi="Calibri"/>
          <w:color w:val="525866"/>
          <w:sz w:val="22"/>
        </w:rPr>
        <w:t>KNX management confirmed the truckload market has tightened materially, with routing guide compliance deteriorating and spot rates moving higher. This is consistent with JBHT’s own commentary about routing guide breakdowns accelerating from March through June 2026. JBHT read-through: tighter truckload market is a direct positive for intermodal as a cost-effective alternative.</w:t>
      </w:r>
    </w:p>
    <w:p>
      <w:pPr>
        <w:pStyle w:val="ListBullet"/>
        <w:ind w:left="360" w:hanging="360"/>
      </w:pPr>
      <w:r>
        <w:rPr>
          <w:rFonts w:ascii="Calibri" w:hAnsi="Calibri"/>
          <w:b/>
          <w:color w:val="525866"/>
          <w:sz w:val="22"/>
        </w:rPr>
        <w:t xml:space="preserve">Regulatory enforcement as capacity catalyst: </w:t>
      </w:r>
      <w:r>
        <w:rPr>
          <w:rFonts w:ascii="Calibri" w:hAnsi="Calibri"/>
          <w:color w:val="525866"/>
          <w:sz w:val="22"/>
        </w:rPr>
        <w:t>KNX cited regulatory enforcement actions (ELD compliance, non-domiciled CDL restrictions) as contributing to driver supply tightening. JBHT management has made the same argument. JBHT read-through: structural driver supply reduction supports a multi-quarter freight rate recovery.</w:t>
      </w:r>
    </w:p>
    <w:p>
      <w:pPr>
        <w:pStyle w:val="ListBullet"/>
        <w:ind w:left="360" w:hanging="360"/>
      </w:pPr>
      <w:r>
        <w:rPr>
          <w:rFonts w:ascii="Calibri" w:hAnsi="Calibri"/>
          <w:b/>
          <w:color w:val="525866"/>
          <w:sz w:val="22"/>
        </w:rPr>
        <w:t xml:space="preserve">Bid season dynamics: </w:t>
      </w:r>
      <w:r>
        <w:rPr>
          <w:rFonts w:ascii="Calibri" w:hAnsi="Calibri"/>
          <w:color w:val="525866"/>
          <w:sz w:val="22"/>
        </w:rPr>
        <w:t>KNX noted that the 2026 bid season is seeing more aggressive repricing than 2025, with shippers accepting higher rates as routing guides break down. JBHT read-through: supports the thesis that the July 2026 bid cycle will be a meaningful pricing catalyst for JBHT’s intermodal segment.</w:t>
      </w:r>
    </w:p>
    <w:p>
      <w:pPr>
        <w:pStyle w:val="Heading3"/>
      </w:pPr>
      <w:r>
        <w:rPr>
          <w:rFonts w:ascii="Calibri" w:hAnsi="Calibri"/>
          <w:b/>
          <w:color w:val="3B4259"/>
          <w:sz w:val="24"/>
        </w:rPr>
        <w:t>Landstar System (LSTR) — Q1 2026 Earnings Call (April 28, 2026)</w:t>
      </w:r>
    </w:p>
    <w:p>
      <w:r>
        <w:rPr>
          <w:rFonts w:ascii="Calibri" w:hAnsi="Calibri"/>
          <w:b/>
          <w:color w:val="525866"/>
          <w:sz w:val="22"/>
        </w:rPr>
        <w:t xml:space="preserve">Read-Through Relevance: </w:t>
      </w:r>
      <w:r>
        <w:rPr>
          <w:rFonts w:ascii="Calibri" w:hAnsi="Calibri"/>
          <w:color w:val="525866"/>
          <w:sz w:val="22"/>
        </w:rPr>
        <w:t>MODERATE — LSTR’s commentary on the “highly fluid freight transportation backdrop” and refusal to provide formal guidance reflects the macro uncertainty that could create volatility around JBHT’s print.</w:t>
      </w:r>
    </w:p>
    <w:p>
      <w:pPr>
        <w:pStyle w:val="ListBullet"/>
        <w:ind w:left="360" w:hanging="360"/>
      </w:pPr>
      <w:r>
        <w:rPr>
          <w:rFonts w:ascii="Calibri" w:hAnsi="Calibri"/>
          <w:b/>
          <w:color w:val="525866"/>
          <w:sz w:val="22"/>
        </w:rPr>
        <w:t xml:space="preserve">No formal guidance due to macro uncertainty: </w:t>
      </w:r>
      <w:r>
        <w:rPr>
          <w:rFonts w:ascii="Calibri" w:hAnsi="Calibri"/>
          <w:color w:val="525866"/>
          <w:sz w:val="22"/>
        </w:rPr>
        <w:t>LSTR cited the “highly fluid freight transportation backdrop and a volatile geopolitical and macroeconomic environment” as reasons for providing only financial and operational commentary rather than formal guidance. JBHT read-through: macro uncertainty is a two-sided risk — the freight tightening signals are real, but the macro backdrop remains volatile.</w:t>
      </w:r>
    </w:p>
    <w:p>
      <w:pPr>
        <w:pStyle w:val="ListBullet"/>
        <w:ind w:left="360" w:hanging="360"/>
      </w:pPr>
      <w:r>
        <w:rPr>
          <w:rFonts w:ascii="Calibri" w:hAnsi="Calibri"/>
          <w:b/>
          <w:color w:val="525866"/>
          <w:sz w:val="22"/>
        </w:rPr>
        <w:t xml:space="preserve">Volume and pricing trends positive: </w:t>
      </w:r>
      <w:r>
        <w:rPr>
          <w:rFonts w:ascii="Calibri" w:hAnsi="Calibri"/>
          <w:color w:val="525866"/>
          <w:sz w:val="22"/>
        </w:rPr>
        <w:t>Despite the cautious framing, LSTR’s underlying volume and pricing trends were constructive, with load counts and revenue per load both improving sequentially. JBHT read-through: broad-based freight market improvement is intact even if the pace is uncertain.</w:t>
      </w:r>
    </w:p>
    <w:p>
      <w:pPr>
        <w:pStyle w:val="Heading3"/>
      </w:pPr>
      <w:r>
        <w:rPr>
          <w:rFonts w:ascii="Calibri" w:hAnsi="Calibri"/>
          <w:b/>
          <w:color w:val="3B4259"/>
          <w:sz w:val="24"/>
        </w:rPr>
        <w:t>C.H. Robinson (CHRW) — Wolfe Research Transportation Conference (May 21, 2026)</w:t>
      </w:r>
    </w:p>
    <w:p>
      <w:r>
        <w:rPr>
          <w:rFonts w:ascii="Calibri" w:hAnsi="Calibri"/>
          <w:b/>
          <w:color w:val="525866"/>
          <w:sz w:val="22"/>
        </w:rPr>
        <w:t xml:space="preserve">Read-Through Relevance: </w:t>
      </w:r>
      <w:r>
        <w:rPr>
          <w:rFonts w:ascii="Calibri" w:hAnsi="Calibri"/>
          <w:color w:val="525866"/>
          <w:sz w:val="22"/>
        </w:rPr>
        <w:t>HIGH — CHRW’s commentary on bid season pricing momentum, the Montgomery ruling, and brokerage industry consolidation has direct implications for JBHT’s ICS segment and the broader freight pricing environment.</w:t>
      </w:r>
    </w:p>
    <w:p>
      <w:pPr>
        <w:pStyle w:val="ListBullet"/>
        <w:ind w:left="360" w:hanging="360"/>
      </w:pPr>
      <w:r>
        <w:rPr>
          <w:rFonts w:ascii="Calibri" w:hAnsi="Calibri"/>
          <w:b/>
          <w:color w:val="525866"/>
          <w:sz w:val="22"/>
        </w:rPr>
        <w:t xml:space="preserve">Bid season: “tremendous” for both volume and price: </w:t>
      </w:r>
      <w:r>
        <w:rPr>
          <w:rFonts w:ascii="Calibri" w:hAnsi="Calibri"/>
          <w:color w:val="525866"/>
          <w:sz w:val="22"/>
        </w:rPr>
        <w:t>CHRW management stated they expect “a tremendous bid season for C.H. Robinson both in volume, so more share gain and in price.” They employ a “surgical” approach to pricing, using revenue management to reprice specific lanes rather than blanket increases. JBHT read-through: broad-based bid season pricing recovery supports JBHT’s intermodal revenue per load inflection thesis.</w:t>
      </w:r>
    </w:p>
    <w:p>
      <w:pPr>
        <w:pStyle w:val="ListBullet"/>
        <w:ind w:left="360" w:hanging="360"/>
      </w:pPr>
      <w:r>
        <w:rPr>
          <w:rFonts w:ascii="Calibri" w:hAnsi="Calibri"/>
          <w:b/>
          <w:color w:val="525866"/>
          <w:sz w:val="22"/>
        </w:rPr>
        <w:t xml:space="preserve">Montgomery ruling — brokerage consolidation catalyst: </w:t>
      </w:r>
      <w:r>
        <w:rPr>
          <w:rFonts w:ascii="Calibri" w:hAnsi="Calibri"/>
          <w:color w:val="525866"/>
          <w:sz w:val="22"/>
        </w:rPr>
        <w:t>CHRW anticipates “maybe 20–30% of broker capacity that could come out” due to increased insurance liability from the Supreme Court’s 9-0 ruling in Montgomery v. Caribe Transport II. CHRW views itself as a consolidator. JBHT read-through: JBHT’s ICS segment, which already requires carriers to have been in service at least one year, is well-positioned relative to smaller brokers. Medium-term positive for ICS rates and market share.</w:t>
      </w:r>
    </w:p>
    <w:p>
      <w:pPr>
        <w:pStyle w:val="ListBullet"/>
        <w:ind w:left="360" w:hanging="360"/>
      </w:pPr>
      <w:r>
        <w:rPr>
          <w:rFonts w:ascii="Calibri" w:hAnsi="Calibri"/>
          <w:b/>
          <w:color w:val="525866"/>
          <w:sz w:val="22"/>
        </w:rPr>
        <w:t xml:space="preserve">Gross profit per load improving: </w:t>
      </w:r>
      <w:r>
        <w:rPr>
          <w:rFonts w:ascii="Calibri" w:hAnsi="Calibri"/>
          <w:color w:val="525866"/>
          <w:sz w:val="22"/>
        </w:rPr>
        <w:t>CHRW noted gross profit per load is already improving and they expect to “exceed prior peak gross profit per load this cycle.” JBHT read-through: ICS gross profit dollar recovery is on track, supporting management’s expectation that ICS returns to profitability in Q2 2026.</w:t>
      </w:r>
    </w:p>
    <w:p>
      <w:pPr>
        <w:pStyle w:val="ListBullet"/>
        <w:ind w:left="360" w:hanging="360"/>
      </w:pPr>
      <w:r>
        <w:rPr>
          <w:rFonts w:ascii="Calibri" w:hAnsi="Calibri"/>
          <w:b/>
          <w:color w:val="525866"/>
          <w:sz w:val="22"/>
        </w:rPr>
        <w:t xml:space="preserve">12 consecutive quarters of market share gains: </w:t>
      </w:r>
      <w:r>
        <w:rPr>
          <w:rFonts w:ascii="Calibri" w:hAnsi="Calibri"/>
          <w:color w:val="525866"/>
          <w:sz w:val="22"/>
        </w:rPr>
        <w:t>CHRW has outgrown the Cass Freight Index for 12 consecutive quarters despite the 4-year freight recession. JBHT read-through: large, well-capitalized freight intermediaries are taking share from smaller players — a structural tailwind for both JBHT’s ICS and intermodal segments.</w:t>
      </w:r>
    </w:p>
    <w:p>
      <w:pPr>
        <w:pStyle w:val="Heading3"/>
      </w:pPr>
      <w:r>
        <w:rPr>
          <w:rFonts w:ascii="Calibri" w:hAnsi="Calibri"/>
          <w:b/>
          <w:color w:val="3B4259"/>
          <w:sz w:val="24"/>
        </w:rPr>
        <w:t>Werner Enterprises (WERN) — Wells Fargo Industrials &amp; Materials Conference (June 9, 2026)</w:t>
      </w:r>
    </w:p>
    <w:p>
      <w:r>
        <w:rPr>
          <w:rFonts w:ascii="Calibri" w:hAnsi="Calibri"/>
          <w:b/>
          <w:color w:val="525866"/>
          <w:sz w:val="22"/>
        </w:rPr>
        <w:t xml:space="preserve">Read-Through Relevance: </w:t>
      </w:r>
      <w:r>
        <w:rPr>
          <w:rFonts w:ascii="Calibri" w:hAnsi="Calibri"/>
          <w:color w:val="525866"/>
          <w:sz w:val="22"/>
        </w:rPr>
        <w:t>MODERATE-HIGH — WERN’s conference commentary (the most recent peer read-through available, just 35 days before JBHT’s Q2 print) provides the freshest real-time read on freight market conditions entering the back half of Q2 2026.</w:t>
      </w:r>
    </w:p>
    <w:p>
      <w:pPr>
        <w:pStyle w:val="ListBullet"/>
        <w:ind w:left="360" w:hanging="360"/>
      </w:pPr>
      <w:r>
        <w:rPr>
          <w:rFonts w:ascii="Calibri" w:hAnsi="Calibri"/>
          <w:b/>
          <w:color w:val="525866"/>
          <w:sz w:val="22"/>
        </w:rPr>
        <w:t xml:space="preserve">Freight market tightening accelerating into June: </w:t>
      </w:r>
      <w:r>
        <w:rPr>
          <w:rFonts w:ascii="Calibri" w:hAnsi="Calibri"/>
          <w:color w:val="525866"/>
          <w:sz w:val="22"/>
        </w:rPr>
        <w:t>WERN management confirmed that freight market conditions continued to tighten through May and into June 2026, with tender rejections elevated and spot rates moving higher. This is the most recent peer data point and is consistent with JBHT’s own commentary about SONAR tender rejections reaching ~18% in late May/early June. JBHT read-through: the tightening trend has continued and potentially accelerated through the end of Q2 2026.</w:t>
      </w:r>
    </w:p>
    <w:p>
      <w:pPr>
        <w:pStyle w:val="ListBullet"/>
        <w:ind w:left="360" w:hanging="360"/>
      </w:pPr>
      <w:r>
        <w:rPr>
          <w:rFonts w:ascii="Calibri" w:hAnsi="Calibri"/>
          <w:b/>
          <w:color w:val="525866"/>
          <w:sz w:val="22"/>
        </w:rPr>
        <w:t xml:space="preserve">Routing guide breakdowns widespread: </w:t>
      </w:r>
      <w:r>
        <w:rPr>
          <w:rFonts w:ascii="Calibri" w:hAnsi="Calibri"/>
          <w:color w:val="525866"/>
          <w:sz w:val="22"/>
        </w:rPr>
        <w:t>WERN noted that routing guide compliance has deteriorated significantly, with shippers initiating mini-bids and full network rebids at an accelerated pace — consistent with JBHT’s own characterization of the market. JBHT read-through: the routing guide breakdown dynamic is industry-wide, not JBHT-specific, and supports the pricing recovery thesis.</w:t>
      </w:r>
    </w:p>
    <w:p>
      <w:pPr>
        <w:pStyle w:val="ListBullet"/>
        <w:ind w:left="360" w:hanging="360"/>
      </w:pPr>
      <w:r>
        <w:rPr>
          <w:rFonts w:ascii="Calibri" w:hAnsi="Calibri"/>
          <w:b/>
          <w:color w:val="525866"/>
          <w:sz w:val="22"/>
        </w:rPr>
        <w:t xml:space="preserve">Driver supply tightening: </w:t>
      </w:r>
      <w:r>
        <w:rPr>
          <w:rFonts w:ascii="Calibri" w:hAnsi="Calibri"/>
          <w:color w:val="525866"/>
          <w:sz w:val="22"/>
        </w:rPr>
        <w:t>WERN cited regulatory enforcement actions as contributing to driver supply reduction, with the impact becoming more visible in June 2026. JBHT read-through: structural driver supply tightening is a multi-quarter tailwind for freight rates across all modes including intermodal.</w:t>
      </w:r>
    </w:p>
    <w:p>
      <w:r>
        <w:rPr>
          <w:rFonts w:ascii="Calibri" w:hAnsi="Calibri"/>
          <w:b/>
          <w:color w:val="525866"/>
          <w:sz w:val="22"/>
        </w:rPr>
        <w:t xml:space="preserve">Peer Commentary Summary: </w:t>
      </w:r>
      <w:r>
        <w:rPr>
          <w:rFonts w:ascii="Calibri" w:hAnsi="Calibri"/>
          <w:color w:val="525866"/>
          <w:sz w:val="22"/>
        </w:rPr>
        <w:t>The weight of peer evidence from Q1 2026 earnings calls (ODFL, SAIA, KNX, LSTR) and subsequent conference appearances (CHRW May 21, WERN June 9) is uniformly constructive on freight market tightening, volume acceleration, and pricing recovery. The key JBHT-specific question is whether intermodal pricing — which has been suppressed by UP’s volume incentive programs — can inflect toward the $2,894 consensus estimate. The peer data suggests the broader pricing environment is supportive; the UP dynamic is the idiosyncratic risk.</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post-Q1 period has been eventful — </w:t>
      </w:r>
      <w:r>
        <w:rPr>
          <w:rFonts w:ascii="Calibri" w:hAnsi="Calibri"/>
          <w:b/>
          <w:color w:val="525866"/>
          <w:sz w:val="22"/>
        </w:rPr>
        <w:t>the Supreme Court’s Montgomery ruling (May 14) is the most significant industry development</w:t>
      </w:r>
      <w:r>
        <w:rPr>
          <w:rFonts w:ascii="Calibri" w:hAnsi="Calibri"/>
          <w:color w:val="525866"/>
          <w:sz w:val="22"/>
        </w:rPr>
        <w:t>, removing the federal preemption shield for freight brokers and potentially reshaping the brokerage competitive landscape in JBHT’s favor. Separately, the FedEx Freight spin-off (June 1) and accelerating routing guide breakdowns are additional constructive signals.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JBHT Relevance</w:t>
            </w:r>
          </w:p>
        </w:tc>
        <w:tc>
          <w:tcPr>
            <w:tcW w:type="dxa" w:w="2160"/>
            <w:shd w:val="clear" w:color="auto" w:fill="3B4259"/>
          </w:tcPr>
          <w:p>
            <w:r>
              <w:rPr>
                <w:rFonts w:ascii="Calibri" w:hAnsi="Calibri"/>
                <w:b/>
                <w:color w:val="FFFFFF"/>
                <w:sz w:val="22"/>
              </w:rPr>
              <w:t>Impact</w:t>
            </w:r>
          </w:p>
        </w:tc>
      </w:tr>
      <w:tr>
        <w:tc>
          <w:tcPr>
            <w:tcW w:type="dxa" w:w="2160"/>
          </w:tcPr>
          <w:p>
            <w:r>
              <w:rPr>
                <w:rFonts w:ascii="Calibri" w:hAnsi="Calibri"/>
                <w:sz w:val="22"/>
              </w:rPr>
              <w:t>May 12–14, 2026</w:t>
            </w:r>
          </w:p>
        </w:tc>
        <w:tc>
          <w:tcPr>
            <w:tcW w:type="dxa" w:w="2160"/>
          </w:tcPr>
          <w:p>
            <w:r>
              <w:rPr>
                <w:rFonts w:ascii="Calibri" w:hAnsi="Calibri"/>
                <w:sz w:val="22"/>
              </w:rPr>
              <w:t>CVSA International Roadcheck — focused on ELD tampering/falsification and cargo securement</w:t>
            </w:r>
          </w:p>
        </w:tc>
        <w:tc>
          <w:tcPr>
            <w:tcW w:type="dxa" w:w="2160"/>
          </w:tcPr>
          <w:p>
            <w:r>
              <w:rPr>
                <w:rFonts w:ascii="Calibri" w:hAnsi="Calibri"/>
                <w:sz w:val="22"/>
              </w:rPr>
              <w:t>Management cited this as a near-term capacity tightening catalyst; enforcement actions reduce effective driver supply</w:t>
            </w:r>
          </w:p>
        </w:tc>
        <w:tc>
          <w:tcPr>
            <w:tcW w:type="dxa" w:w="2160"/>
          </w:tcPr>
          <w:p>
            <w:r>
              <w:rPr>
                <w:rFonts w:ascii="Calibri" w:hAnsi="Calibri"/>
                <w:b/>
                <w:color w:val="30A46C"/>
                <w:sz w:val="22"/>
              </w:rPr>
              <w:t>Positive — supports freight rate recovery</w:t>
            </w:r>
          </w:p>
        </w:tc>
      </w:tr>
      <w:tr>
        <w:tc>
          <w:tcPr>
            <w:tcW w:type="dxa" w:w="2160"/>
          </w:tcPr>
          <w:p>
            <w:r>
              <w:rPr>
                <w:rFonts w:ascii="Calibri" w:hAnsi="Calibri"/>
                <w:sz w:val="22"/>
              </w:rPr>
              <w:t>May 14, 2026</w:t>
            </w:r>
          </w:p>
        </w:tc>
        <w:tc>
          <w:tcPr>
            <w:tcW w:type="dxa" w:w="2160"/>
          </w:tcPr>
          <w:p>
            <w:r>
              <w:rPr>
                <w:rFonts w:ascii="Calibri" w:hAnsi="Calibri"/>
                <w:sz w:val="22"/>
              </w:rPr>
              <w:t>Supreme Court rules 9-0 in Montgomery v. Caribe Transport II — freight brokers can be sued under state negligent-hiring law; federal preemption shield eliminated</w:t>
            </w:r>
          </w:p>
        </w:tc>
        <w:tc>
          <w:tcPr>
            <w:tcW w:type="dxa" w:w="2160"/>
          </w:tcPr>
          <w:p>
            <w:r>
              <w:rPr>
                <w:rFonts w:ascii="Calibri" w:hAnsi="Calibri"/>
                <w:sz w:val="22"/>
              </w:rPr>
              <w:t>JBHT’s ICS already requires carriers to have been in service ≥1 year; vetting practices above industry average; medium-term positive as insurance costs rise for smaller brokers and shippers shift to large, well-capitalized intermediaries</w:t>
            </w:r>
          </w:p>
        </w:tc>
        <w:tc>
          <w:tcPr>
            <w:tcW w:type="dxa" w:w="2160"/>
          </w:tcPr>
          <w:p>
            <w:r>
              <w:rPr>
                <w:rFonts w:ascii="Calibri" w:hAnsi="Calibri"/>
                <w:b/>
                <w:color w:val="30A46C"/>
                <w:sz w:val="22"/>
              </w:rPr>
              <w:t>Positive (LT) — ICS competitive advantage</w:t>
            </w:r>
          </w:p>
        </w:tc>
      </w:tr>
      <w:tr>
        <w:tc>
          <w:tcPr>
            <w:tcW w:type="dxa" w:w="2160"/>
          </w:tcPr>
          <w:p>
            <w:r>
              <w:rPr>
                <w:rFonts w:ascii="Calibri" w:hAnsi="Calibri"/>
                <w:sz w:val="22"/>
              </w:rPr>
              <w:t>Mar–Jun 2026</w:t>
            </w:r>
          </w:p>
        </w:tc>
        <w:tc>
          <w:tcPr>
            <w:tcW w:type="dxa" w:w="2160"/>
          </w:tcPr>
          <w:p>
            <w:r>
              <w:rPr>
                <w:rFonts w:ascii="Calibri" w:hAnsi="Calibri"/>
                <w:sz w:val="22"/>
              </w:rPr>
              <w:t>Routing guide breakdowns accelerating; mini-bids escalating to full network rebids; SONAR tender rejections ~18% in late May/early June (highest since 2021)</w:t>
            </w:r>
          </w:p>
        </w:tc>
        <w:tc>
          <w:tcPr>
            <w:tcW w:type="dxa" w:w="2160"/>
          </w:tcPr>
          <w:p>
            <w:r>
              <w:rPr>
                <w:rFonts w:ascii="Calibri" w:hAnsi="Calibri"/>
                <w:sz w:val="22"/>
              </w:rPr>
              <w:t>Real-time indicator of freight market tightening; management actively working with customers through rebid process; July 2026 bid cycle beginning</w:t>
            </w:r>
          </w:p>
        </w:tc>
        <w:tc>
          <w:tcPr>
            <w:tcW w:type="dxa" w:w="2160"/>
          </w:tcPr>
          <w:p>
            <w:r>
              <w:rPr>
                <w:rFonts w:ascii="Calibri" w:hAnsi="Calibri"/>
                <w:b/>
                <w:color w:val="30A46C"/>
                <w:sz w:val="22"/>
              </w:rPr>
              <w:t>Positive — pricing catalyst</w:t>
            </w:r>
          </w:p>
        </w:tc>
      </w:tr>
      <w:tr>
        <w:tc>
          <w:tcPr>
            <w:tcW w:type="dxa" w:w="2160"/>
          </w:tcPr>
          <w:p>
            <w:r>
              <w:rPr>
                <w:rFonts w:ascii="Calibri" w:hAnsi="Calibri"/>
                <w:sz w:val="22"/>
              </w:rPr>
              <w:t>June 1, 2026</w:t>
            </w:r>
          </w:p>
        </w:tc>
        <w:tc>
          <w:tcPr>
            <w:tcW w:type="dxa" w:w="2160"/>
          </w:tcPr>
          <w:p>
            <w:r>
              <w:rPr>
                <w:rFonts w:ascii="Calibri" w:hAnsi="Calibri"/>
                <w:sz w:val="22"/>
              </w:rPr>
              <w:t>FedEx completes spin-off of FedEx Freight (ticker: FDXF); begins trading on NYSE</w:t>
            </w:r>
          </w:p>
        </w:tc>
        <w:tc>
          <w:tcPr>
            <w:tcW w:type="dxa" w:w="2160"/>
          </w:tcPr>
          <w:p>
            <w:r>
              <w:rPr>
                <w:rFonts w:ascii="Calibri" w:hAnsi="Calibri"/>
                <w:sz w:val="22"/>
              </w:rPr>
              <w:t>Creates a new publicly traded LTL competitor; near-term neutral for JBHT but increases competitive transparency in the freight sector</w:t>
            </w:r>
          </w:p>
        </w:tc>
        <w:tc>
          <w:tcPr>
            <w:tcW w:type="dxa" w:w="2160"/>
          </w:tcPr>
          <w:p>
            <w:r>
              <w:rPr>
                <w:rFonts w:ascii="Calibri" w:hAnsi="Calibri"/>
                <w:b/>
                <w:color w:val="002FA7"/>
                <w:sz w:val="22"/>
              </w:rPr>
              <w:t>Neutral</w:t>
            </w:r>
          </w:p>
        </w:tc>
      </w:tr>
      <w:tr>
        <w:tc>
          <w:tcPr>
            <w:tcW w:type="dxa" w:w="2160"/>
          </w:tcPr>
          <w:p>
            <w:r>
              <w:rPr>
                <w:rFonts w:ascii="Calibri" w:hAnsi="Calibri"/>
                <w:sz w:val="22"/>
              </w:rPr>
              <w:t>Ongoing 2026</w:t>
            </w:r>
          </w:p>
        </w:tc>
        <w:tc>
          <w:tcPr>
            <w:tcW w:type="dxa" w:w="2160"/>
          </w:tcPr>
          <w:p>
            <w:r>
              <w:rPr>
                <w:rFonts w:ascii="Calibri" w:hAnsi="Calibri"/>
                <w:sz w:val="22"/>
              </w:rPr>
              <w:t>UP volume incentive programs to shippers (bypassing IMCs); formal western rail merger application pending</w:t>
            </w:r>
          </w:p>
        </w:tc>
        <w:tc>
          <w:tcPr>
            <w:tcW w:type="dxa" w:w="2160"/>
          </w:tcPr>
          <w:p>
            <w:r>
              <w:rPr>
                <w:rFonts w:ascii="Calibri" w:hAnsi="Calibri"/>
                <w:sz w:val="22"/>
              </w:rPr>
              <w:t>Suppressing TransCon headhaul pricing; management awaiting formal merger application before detailed commentary; key overhang on intermodal pricing</w:t>
            </w:r>
          </w:p>
        </w:tc>
        <w:tc>
          <w:tcPr>
            <w:tcW w:type="dxa" w:w="2160"/>
          </w:tcPr>
          <w:p>
            <w:r>
              <w:rPr>
                <w:rFonts w:ascii="Calibri" w:hAnsi="Calibri"/>
                <w:b/>
                <w:color w:val="E5484D"/>
                <w:sz w:val="22"/>
              </w:rPr>
              <w:t>Negative — pricing headwind</w:t>
            </w:r>
          </w:p>
        </w:tc>
      </w:tr>
      <w:tr>
        <w:tc>
          <w:tcPr>
            <w:tcW w:type="dxa" w:w="2160"/>
          </w:tcPr>
          <w:p>
            <w:r>
              <w:rPr>
                <w:rFonts w:ascii="Calibri" w:hAnsi="Calibri"/>
                <w:sz w:val="22"/>
              </w:rPr>
              <w:t>Ongoing 2026</w:t>
            </w:r>
          </w:p>
        </w:tc>
        <w:tc>
          <w:tcPr>
            <w:tcW w:type="dxa" w:w="2160"/>
          </w:tcPr>
          <w:p>
            <w:r>
              <w:rPr>
                <w:rFonts w:ascii="Calibri" w:hAnsi="Calibri"/>
                <w:sz w:val="22"/>
              </w:rPr>
              <w:t>Dalilah Law — expected to be incorporated into Surface Transportation Reauthorization bill (likely late 2026/early 2027); NY contemplating non-dom CDL action</w:t>
            </w:r>
          </w:p>
        </w:tc>
        <w:tc>
          <w:tcPr>
            <w:tcW w:type="dxa" w:w="2160"/>
          </w:tcPr>
          <w:p>
            <w:r>
              <w:rPr>
                <w:rFonts w:ascii="Calibri" w:hAnsi="Calibri"/>
                <w:sz w:val="22"/>
              </w:rPr>
              <w:t>Structural driver supply reduction; management views as multi-quarter capacity tightening catalyst; supports freight rate recovery thesis</w:t>
            </w:r>
          </w:p>
        </w:tc>
        <w:tc>
          <w:tcPr>
            <w:tcW w:type="dxa" w:w="2160"/>
          </w:tcPr>
          <w:p>
            <w:r>
              <w:rPr>
                <w:rFonts w:ascii="Calibri" w:hAnsi="Calibri"/>
                <w:b/>
                <w:color w:val="30A46C"/>
                <w:sz w:val="22"/>
              </w:rPr>
              <w:t>Positive (LT) — capacity tightening</w:t>
            </w:r>
          </w:p>
        </w:tc>
      </w:tr>
      <w:tr>
        <w:tc>
          <w:tcPr>
            <w:tcW w:type="dxa" w:w="2160"/>
          </w:tcPr>
          <w:p>
            <w:r>
              <w:rPr>
                <w:rFonts w:ascii="Calibri" w:hAnsi="Calibri"/>
                <w:sz w:val="22"/>
              </w:rPr>
              <w:t>July 1, 2026</w:t>
            </w:r>
          </w:p>
        </w:tc>
        <w:tc>
          <w:tcPr>
            <w:tcW w:type="dxa" w:w="2160"/>
          </w:tcPr>
          <w:p>
            <w:r>
              <w:rPr>
                <w:rFonts w:ascii="Calibri" w:hAnsi="Calibri"/>
                <w:sz w:val="22"/>
              </w:rPr>
              <w:t>JBHT announces Q2 2026 earnings date: July 15, 2026 after market close; conference call at 5:00 PM ET</w:t>
            </w:r>
          </w:p>
        </w:tc>
        <w:tc>
          <w:tcPr>
            <w:tcW w:type="dxa" w:w="2160"/>
          </w:tcPr>
          <w:p>
            <w:r>
              <w:rPr>
                <w:rFonts w:ascii="Calibri" w:hAnsi="Calibri"/>
                <w:sz w:val="22"/>
              </w:rPr>
              <w:t>Confirms reporting schedule; no pre-announcement or guidance update issued</w:t>
            </w:r>
          </w:p>
        </w:tc>
        <w:tc>
          <w:tcPr>
            <w:tcW w:type="dxa" w:w="2160"/>
          </w:tcPr>
          <w:p>
            <w:r>
              <w:rPr>
                <w:rFonts w:ascii="Calibri" w:hAnsi="Calibri"/>
                <w:b/>
                <w:color w:val="002FA7"/>
                <w:sz w:val="22"/>
              </w:rPr>
              <w:t>Neutral</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dominated by routine open-market sales and equity award grants — </w:t>
      </w:r>
      <w:r>
        <w:rPr>
          <w:rFonts w:ascii="Calibri" w:hAnsi="Calibri"/>
          <w:b/>
          <w:color w:val="525866"/>
          <w:sz w:val="22"/>
        </w:rPr>
        <w:t>no discretionary open-market purchases were recorded</w:t>
      </w:r>
      <w:r>
        <w:rPr>
          <w:rFonts w:ascii="Calibri" w:hAnsi="Calibri"/>
          <w:color w:val="525866"/>
          <w:sz w:val="22"/>
        </w:rPr>
        <w:t>, and the sales pattern (multiple executives selling into the stock’s 25% post-earnings rally) is consistent with normal compensation-related selling rather than a bearish signal. The absence of insider buying at current levels is worth noting given the stock’s proximity to analyst price targets.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Filing Date</w:t>
            </w:r>
          </w:p>
        </w:tc>
        <w:tc>
          <w:tcPr>
            <w:tcW w:type="dxa" w:w="1440"/>
            <w:shd w:val="clear" w:color="auto" w:fill="3B4259"/>
          </w:tcPr>
          <w:p>
            <w:r>
              <w:rPr>
                <w:rFonts w:ascii="Calibri" w:hAnsi="Calibri"/>
                <w:b/>
                <w:color w:val="FFFFFF"/>
                <w:sz w:val="22"/>
              </w:rPr>
              <w:t>Insider</w:t>
            </w:r>
          </w:p>
        </w:tc>
        <w:tc>
          <w:tcPr>
            <w:tcW w:type="dxa" w:w="1440"/>
            <w:shd w:val="clear" w:color="auto" w:fill="3B4259"/>
          </w:tcPr>
          <w:p>
            <w:r>
              <w:rPr>
                <w:rFonts w:ascii="Calibri" w:hAnsi="Calibri"/>
                <w:b/>
                <w:color w:val="FFFFFF"/>
                <w:sz w:val="22"/>
              </w:rPr>
              <w:t>Role</w:t>
            </w:r>
          </w:p>
        </w:tc>
        <w:tc>
          <w:tcPr>
            <w:tcW w:type="dxa" w:w="1440"/>
            <w:shd w:val="clear" w:color="auto" w:fill="3B4259"/>
          </w:tcPr>
          <w:p>
            <w:r>
              <w:rPr>
                <w:rFonts w:ascii="Calibri" w:hAnsi="Calibri"/>
                <w:b/>
                <w:color w:val="FFFFFF"/>
                <w:sz w:val="22"/>
              </w:rPr>
              <w:t>Transaction</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Type</w:t>
            </w:r>
          </w:p>
        </w:tc>
      </w:tr>
      <w:tr>
        <w:tc>
          <w:tcPr>
            <w:tcW w:type="dxa" w:w="1440"/>
          </w:tcPr>
          <w:p>
            <w:r>
              <w:rPr>
                <w:rFonts w:ascii="Calibri" w:hAnsi="Calibri"/>
                <w:sz w:val="22"/>
              </w:rPr>
              <w:t>Jun 8, 2026</w:t>
            </w:r>
          </w:p>
        </w:tc>
        <w:tc>
          <w:tcPr>
            <w:tcW w:type="dxa" w:w="1440"/>
          </w:tcPr>
          <w:p>
            <w:r>
              <w:rPr>
                <w:rFonts w:ascii="Calibri" w:hAnsi="Calibri"/>
                <w:sz w:val="22"/>
              </w:rPr>
              <w:t>Keefauver, David</w:t>
            </w:r>
          </w:p>
        </w:tc>
        <w:tc>
          <w:tcPr>
            <w:tcW w:type="dxa" w:w="1440"/>
          </w:tcPr>
          <w:p>
            <w:r>
              <w:rPr>
                <w:rFonts w:ascii="Calibri" w:hAnsi="Calibri"/>
                <w:sz w:val="22"/>
              </w:rPr>
              <w:t>EVP of People</w:t>
            </w:r>
          </w:p>
        </w:tc>
        <w:tc>
          <w:tcPr>
            <w:tcW w:type="dxa" w:w="1440"/>
          </w:tcPr>
          <w:p>
            <w:r>
              <w:rPr>
                <w:rFonts w:ascii="Calibri" w:hAnsi="Calibri"/>
                <w:sz w:val="22"/>
              </w:rPr>
              <w:t>Sale (Jun 5)</w:t>
            </w:r>
          </w:p>
        </w:tc>
        <w:tc>
          <w:tcPr>
            <w:tcW w:type="dxa" w:w="1440"/>
          </w:tcPr>
          <w:p>
            <w:r>
              <w:rPr>
                <w:rFonts w:ascii="Calibri" w:hAnsi="Calibri"/>
                <w:sz w:val="22"/>
              </w:rPr>
              <w:t>703</w:t>
            </w:r>
          </w:p>
        </w:tc>
        <w:tc>
          <w:tcPr>
            <w:tcW w:type="dxa" w:w="1440"/>
          </w:tcPr>
          <w:p>
            <w:r>
              <w:rPr>
                <w:rFonts w:ascii="Calibri" w:hAnsi="Calibri"/>
                <w:sz w:val="22"/>
              </w:rPr>
              <w:t>Dispose (S)</w:t>
            </w:r>
          </w:p>
        </w:tc>
      </w:tr>
      <w:tr>
        <w:tc>
          <w:tcPr>
            <w:tcW w:type="dxa" w:w="1440"/>
          </w:tcPr>
          <w:p>
            <w:r>
              <w:rPr>
                <w:rFonts w:ascii="Calibri" w:hAnsi="Calibri"/>
                <w:sz w:val="22"/>
              </w:rPr>
              <w:t>Jun 8, 2026</w:t>
            </w:r>
          </w:p>
        </w:tc>
        <w:tc>
          <w:tcPr>
            <w:tcW w:type="dxa" w:w="1440"/>
          </w:tcPr>
          <w:p>
            <w:r>
              <w:rPr>
                <w:rFonts w:ascii="Calibri" w:hAnsi="Calibri"/>
                <w:sz w:val="22"/>
              </w:rPr>
              <w:t>Webb, Brian</w:t>
            </w:r>
          </w:p>
        </w:tc>
        <w:tc>
          <w:tcPr>
            <w:tcW w:type="dxa" w:w="1440"/>
          </w:tcPr>
          <w:p>
            <w:r>
              <w:rPr>
                <w:rFonts w:ascii="Calibri" w:hAnsi="Calibri"/>
                <w:sz w:val="22"/>
              </w:rPr>
              <w:t>EVP, Final Mile Services</w:t>
            </w:r>
          </w:p>
        </w:tc>
        <w:tc>
          <w:tcPr>
            <w:tcW w:type="dxa" w:w="1440"/>
          </w:tcPr>
          <w:p>
            <w:r>
              <w:rPr>
                <w:rFonts w:ascii="Calibri" w:hAnsi="Calibri"/>
                <w:sz w:val="22"/>
              </w:rPr>
              <w:t>Sale (Jun 5)</w:t>
            </w:r>
          </w:p>
        </w:tc>
        <w:tc>
          <w:tcPr>
            <w:tcW w:type="dxa" w:w="1440"/>
          </w:tcPr>
          <w:p>
            <w:r>
              <w:rPr>
                <w:rFonts w:ascii="Calibri" w:hAnsi="Calibri"/>
                <w:sz w:val="22"/>
              </w:rPr>
              <w:t>1,500</w:t>
            </w:r>
          </w:p>
        </w:tc>
        <w:tc>
          <w:tcPr>
            <w:tcW w:type="dxa" w:w="1440"/>
          </w:tcPr>
          <w:p>
            <w:r>
              <w:rPr>
                <w:rFonts w:ascii="Calibri" w:hAnsi="Calibri"/>
                <w:sz w:val="22"/>
              </w:rPr>
              <w:t>Dispose (S)</w:t>
            </w:r>
          </w:p>
        </w:tc>
      </w:tr>
      <w:tr>
        <w:tc>
          <w:tcPr>
            <w:tcW w:type="dxa" w:w="1440"/>
          </w:tcPr>
          <w:p>
            <w:r>
              <w:rPr>
                <w:rFonts w:ascii="Calibri" w:hAnsi="Calibri"/>
                <w:sz w:val="22"/>
              </w:rPr>
              <w:t>Jun 2, 2026</w:t>
            </w:r>
          </w:p>
        </w:tc>
        <w:tc>
          <w:tcPr>
            <w:tcW w:type="dxa" w:w="1440"/>
          </w:tcPr>
          <w:p>
            <w:r>
              <w:rPr>
                <w:rFonts w:ascii="Calibri" w:hAnsi="Calibri"/>
                <w:sz w:val="22"/>
              </w:rPr>
              <w:t>Garrison, Earl Wayne</w:t>
            </w:r>
          </w:p>
        </w:tc>
        <w:tc>
          <w:tcPr>
            <w:tcW w:type="dxa" w:w="1440"/>
          </w:tcPr>
          <w:p>
            <w:r>
              <w:rPr>
                <w:rFonts w:ascii="Calibri" w:hAnsi="Calibri"/>
                <w:sz w:val="22"/>
              </w:rPr>
              <w:t>Honorary Founding Director</w:t>
            </w:r>
          </w:p>
        </w:tc>
        <w:tc>
          <w:tcPr>
            <w:tcW w:type="dxa" w:w="1440"/>
          </w:tcPr>
          <w:p>
            <w:r>
              <w:rPr>
                <w:rFonts w:ascii="Calibri" w:hAnsi="Calibri"/>
                <w:sz w:val="22"/>
              </w:rPr>
              <w:t>Gift (Jun 2)</w:t>
            </w:r>
          </w:p>
        </w:tc>
        <w:tc>
          <w:tcPr>
            <w:tcW w:type="dxa" w:w="1440"/>
          </w:tcPr>
          <w:p>
            <w:r>
              <w:rPr>
                <w:rFonts w:ascii="Calibri" w:hAnsi="Calibri"/>
                <w:sz w:val="22"/>
              </w:rPr>
              <w:t>76,744</w:t>
            </w:r>
          </w:p>
        </w:tc>
        <w:tc>
          <w:tcPr>
            <w:tcW w:type="dxa" w:w="1440"/>
          </w:tcPr>
          <w:p>
            <w:r>
              <w:rPr>
                <w:rFonts w:ascii="Calibri" w:hAnsi="Calibri"/>
                <w:sz w:val="22"/>
              </w:rPr>
              <w:t>Dispose (G)</w:t>
            </w:r>
          </w:p>
        </w:tc>
      </w:tr>
      <w:tr>
        <w:tc>
          <w:tcPr>
            <w:tcW w:type="dxa" w:w="1440"/>
          </w:tcPr>
          <w:p>
            <w:r>
              <w:rPr>
                <w:rFonts w:ascii="Calibri" w:hAnsi="Calibri"/>
                <w:sz w:val="22"/>
              </w:rPr>
              <w:t>Jun 2, 2026</w:t>
            </w:r>
          </w:p>
        </w:tc>
        <w:tc>
          <w:tcPr>
            <w:tcW w:type="dxa" w:w="1440"/>
          </w:tcPr>
          <w:p>
            <w:r>
              <w:rPr>
                <w:rFonts w:ascii="Calibri" w:hAnsi="Calibri"/>
                <w:sz w:val="22"/>
              </w:rPr>
              <w:t>Hobbs, Nicholas</w:t>
            </w:r>
          </w:p>
        </w:tc>
        <w:tc>
          <w:tcPr>
            <w:tcW w:type="dxa" w:w="1440"/>
          </w:tcPr>
          <w:p>
            <w:r>
              <w:rPr>
                <w:rFonts w:ascii="Calibri" w:hAnsi="Calibri"/>
                <w:sz w:val="22"/>
              </w:rPr>
              <w:t>EVP and COO</w:t>
            </w:r>
          </w:p>
        </w:tc>
        <w:tc>
          <w:tcPr>
            <w:tcW w:type="dxa" w:w="1440"/>
          </w:tcPr>
          <w:p>
            <w:r>
              <w:rPr>
                <w:rFonts w:ascii="Calibri" w:hAnsi="Calibri"/>
                <w:sz w:val="22"/>
              </w:rPr>
              <w:t>Gift (May 29)</w:t>
            </w:r>
          </w:p>
        </w:tc>
        <w:tc>
          <w:tcPr>
            <w:tcW w:type="dxa" w:w="1440"/>
          </w:tcPr>
          <w:p>
            <w:r>
              <w:rPr>
                <w:rFonts w:ascii="Calibri" w:hAnsi="Calibri"/>
                <w:sz w:val="22"/>
              </w:rPr>
              <w:t>6,204</w:t>
            </w:r>
          </w:p>
        </w:tc>
        <w:tc>
          <w:tcPr>
            <w:tcW w:type="dxa" w:w="1440"/>
          </w:tcPr>
          <w:p>
            <w:r>
              <w:rPr>
                <w:rFonts w:ascii="Calibri" w:hAnsi="Calibri"/>
                <w:sz w:val="22"/>
              </w:rPr>
              <w:t>Dispose (G)</w:t>
            </w:r>
          </w:p>
        </w:tc>
      </w:tr>
      <w:tr>
        <w:tc>
          <w:tcPr>
            <w:tcW w:type="dxa" w:w="1440"/>
          </w:tcPr>
          <w:p>
            <w:r>
              <w:rPr>
                <w:rFonts w:ascii="Calibri" w:hAnsi="Calibri"/>
                <w:sz w:val="22"/>
              </w:rPr>
              <w:t>May 26, 2026</w:t>
            </w:r>
          </w:p>
        </w:tc>
        <w:tc>
          <w:tcPr>
            <w:tcW w:type="dxa" w:w="1440"/>
          </w:tcPr>
          <w:p>
            <w:r>
              <w:rPr>
                <w:rFonts w:ascii="Calibri" w:hAnsi="Calibri"/>
                <w:sz w:val="22"/>
              </w:rPr>
              <w:t>Frazier, Spencer</w:t>
            </w:r>
          </w:p>
        </w:tc>
        <w:tc>
          <w:tcPr>
            <w:tcW w:type="dxa" w:w="1440"/>
          </w:tcPr>
          <w:p>
            <w:r>
              <w:rPr>
                <w:rFonts w:ascii="Calibri" w:hAnsi="Calibri"/>
                <w:sz w:val="22"/>
              </w:rPr>
              <w:t>EVP of Sales &amp; Marketing</w:t>
            </w:r>
          </w:p>
        </w:tc>
        <w:tc>
          <w:tcPr>
            <w:tcW w:type="dxa" w:w="1440"/>
          </w:tcPr>
          <w:p>
            <w:r>
              <w:rPr>
                <w:rFonts w:ascii="Calibri" w:hAnsi="Calibri"/>
                <w:sz w:val="22"/>
              </w:rPr>
              <w:t>Sale (May 19)</w:t>
            </w:r>
          </w:p>
        </w:tc>
        <w:tc>
          <w:tcPr>
            <w:tcW w:type="dxa" w:w="1440"/>
          </w:tcPr>
          <w:p>
            <w:r>
              <w:rPr>
                <w:rFonts w:ascii="Calibri" w:hAnsi="Calibri"/>
                <w:sz w:val="22"/>
              </w:rPr>
              <w:t>2,000</w:t>
            </w:r>
          </w:p>
        </w:tc>
        <w:tc>
          <w:tcPr>
            <w:tcW w:type="dxa" w:w="1440"/>
          </w:tcPr>
          <w:p>
            <w:r>
              <w:rPr>
                <w:rFonts w:ascii="Calibri" w:hAnsi="Calibri"/>
                <w:sz w:val="22"/>
              </w:rPr>
              <w:t>Dispose (S)</w:t>
            </w:r>
          </w:p>
        </w:tc>
      </w:tr>
      <w:tr>
        <w:tc>
          <w:tcPr>
            <w:tcW w:type="dxa" w:w="1440"/>
          </w:tcPr>
          <w:p>
            <w:r>
              <w:rPr>
                <w:rFonts w:ascii="Calibri" w:hAnsi="Calibri"/>
                <w:sz w:val="22"/>
              </w:rPr>
              <w:t>May 18, 2026</w:t>
            </w:r>
          </w:p>
        </w:tc>
        <w:tc>
          <w:tcPr>
            <w:tcW w:type="dxa" w:w="1440"/>
          </w:tcPr>
          <w:p>
            <w:r>
              <w:rPr>
                <w:rFonts w:ascii="Calibri" w:hAnsi="Calibri"/>
                <w:sz w:val="22"/>
              </w:rPr>
              <w:t>Hicks, Bradley W.</w:t>
            </w:r>
          </w:p>
        </w:tc>
        <w:tc>
          <w:tcPr>
            <w:tcW w:type="dxa" w:w="1440"/>
          </w:tcPr>
          <w:p>
            <w:r>
              <w:rPr>
                <w:rFonts w:ascii="Calibri" w:hAnsi="Calibri"/>
                <w:sz w:val="22"/>
              </w:rPr>
              <w:t>President, DCS</w:t>
            </w:r>
          </w:p>
        </w:tc>
        <w:tc>
          <w:tcPr>
            <w:tcW w:type="dxa" w:w="1440"/>
          </w:tcPr>
          <w:p>
            <w:r>
              <w:rPr>
                <w:rFonts w:ascii="Calibri" w:hAnsi="Calibri"/>
                <w:sz w:val="22"/>
              </w:rPr>
              <w:t>Sale (May 15)</w:t>
            </w:r>
          </w:p>
        </w:tc>
        <w:tc>
          <w:tcPr>
            <w:tcW w:type="dxa" w:w="1440"/>
          </w:tcPr>
          <w:p>
            <w:r>
              <w:rPr>
                <w:rFonts w:ascii="Calibri" w:hAnsi="Calibri"/>
                <w:sz w:val="22"/>
              </w:rPr>
              <w:t>7,644</w:t>
            </w:r>
          </w:p>
        </w:tc>
        <w:tc>
          <w:tcPr>
            <w:tcW w:type="dxa" w:w="1440"/>
          </w:tcPr>
          <w:p>
            <w:r>
              <w:rPr>
                <w:rFonts w:ascii="Calibri" w:hAnsi="Calibri"/>
                <w:sz w:val="22"/>
              </w:rPr>
              <w:t>Dispose (S)</w:t>
            </w:r>
          </w:p>
        </w:tc>
      </w:tr>
      <w:tr>
        <w:tc>
          <w:tcPr>
            <w:tcW w:type="dxa" w:w="1440"/>
          </w:tcPr>
          <w:p>
            <w:r>
              <w:rPr>
                <w:rFonts w:ascii="Calibri" w:hAnsi="Calibri"/>
                <w:sz w:val="22"/>
              </w:rPr>
              <w:t>May 15, 2026</w:t>
            </w:r>
          </w:p>
        </w:tc>
        <w:tc>
          <w:tcPr>
            <w:tcW w:type="dxa" w:w="1440"/>
          </w:tcPr>
          <w:p>
            <w:r>
              <w:rPr>
                <w:rFonts w:ascii="Calibri" w:hAnsi="Calibri"/>
                <w:sz w:val="22"/>
              </w:rPr>
              <w:t>Field, Darren P.</w:t>
            </w:r>
          </w:p>
        </w:tc>
        <w:tc>
          <w:tcPr>
            <w:tcW w:type="dxa" w:w="1440"/>
          </w:tcPr>
          <w:p>
            <w:r>
              <w:rPr>
                <w:rFonts w:ascii="Calibri" w:hAnsi="Calibri"/>
                <w:sz w:val="22"/>
              </w:rPr>
              <w:t>EVP &amp; President, Intermodal</w:t>
            </w:r>
          </w:p>
        </w:tc>
        <w:tc>
          <w:tcPr>
            <w:tcW w:type="dxa" w:w="1440"/>
          </w:tcPr>
          <w:p>
            <w:r>
              <w:rPr>
                <w:rFonts w:ascii="Calibri" w:hAnsi="Calibri"/>
                <w:sz w:val="22"/>
              </w:rPr>
              <w:t>Sale (May 14)</w:t>
            </w:r>
          </w:p>
        </w:tc>
        <w:tc>
          <w:tcPr>
            <w:tcW w:type="dxa" w:w="1440"/>
          </w:tcPr>
          <w:p>
            <w:r>
              <w:rPr>
                <w:rFonts w:ascii="Calibri" w:hAnsi="Calibri"/>
                <w:sz w:val="22"/>
              </w:rPr>
              <w:t>4,000</w:t>
            </w:r>
          </w:p>
        </w:tc>
        <w:tc>
          <w:tcPr>
            <w:tcW w:type="dxa" w:w="1440"/>
          </w:tcPr>
          <w:p>
            <w:r>
              <w:rPr>
                <w:rFonts w:ascii="Calibri" w:hAnsi="Calibri"/>
                <w:sz w:val="22"/>
              </w:rPr>
              <w:t>Dispose (S)</w:t>
            </w:r>
          </w:p>
        </w:tc>
      </w:tr>
      <w:tr>
        <w:tc>
          <w:tcPr>
            <w:tcW w:type="dxa" w:w="1440"/>
          </w:tcPr>
          <w:p>
            <w:r>
              <w:rPr>
                <w:rFonts w:ascii="Calibri" w:hAnsi="Calibri"/>
                <w:sz w:val="22"/>
              </w:rPr>
              <w:t>May 5, 2026</w:t>
            </w:r>
          </w:p>
        </w:tc>
        <w:tc>
          <w:tcPr>
            <w:tcW w:type="dxa" w:w="1440"/>
          </w:tcPr>
          <w:p>
            <w:r>
              <w:rPr>
                <w:rFonts w:ascii="Calibri" w:hAnsi="Calibri"/>
                <w:sz w:val="22"/>
              </w:rPr>
              <w:t>Delco, Albert Brad</w:t>
            </w:r>
          </w:p>
        </w:tc>
        <w:tc>
          <w:tcPr>
            <w:tcW w:type="dxa" w:w="1440"/>
          </w:tcPr>
          <w:p>
            <w:r>
              <w:rPr>
                <w:rFonts w:ascii="Calibri" w:hAnsi="Calibri"/>
                <w:sz w:val="22"/>
              </w:rPr>
              <w:t>EVP &amp; CFO</w:t>
            </w:r>
          </w:p>
        </w:tc>
        <w:tc>
          <w:tcPr>
            <w:tcW w:type="dxa" w:w="1440"/>
          </w:tcPr>
          <w:p>
            <w:r>
              <w:rPr>
                <w:rFonts w:ascii="Calibri" w:hAnsi="Calibri"/>
                <w:sz w:val="22"/>
              </w:rPr>
              <w:t>Gift (May 5)</w:t>
            </w:r>
          </w:p>
        </w:tc>
        <w:tc>
          <w:tcPr>
            <w:tcW w:type="dxa" w:w="1440"/>
          </w:tcPr>
          <w:p>
            <w:r>
              <w:rPr>
                <w:rFonts w:ascii="Calibri" w:hAnsi="Calibri"/>
                <w:sz w:val="22"/>
              </w:rPr>
              <w:t>98</w:t>
            </w:r>
          </w:p>
        </w:tc>
        <w:tc>
          <w:tcPr>
            <w:tcW w:type="dxa" w:w="1440"/>
          </w:tcPr>
          <w:p>
            <w:r>
              <w:rPr>
                <w:rFonts w:ascii="Calibri" w:hAnsi="Calibri"/>
                <w:sz w:val="22"/>
              </w:rPr>
              <w:t>Dispose (G)</w:t>
            </w:r>
          </w:p>
        </w:tc>
      </w:tr>
      <w:tr>
        <w:tc>
          <w:tcPr>
            <w:tcW w:type="dxa" w:w="1440"/>
          </w:tcPr>
          <w:p>
            <w:r>
              <w:rPr>
                <w:rFonts w:ascii="Calibri" w:hAnsi="Calibri"/>
                <w:sz w:val="22"/>
              </w:rPr>
              <w:t>Apr 27, 2026</w:t>
            </w:r>
          </w:p>
        </w:tc>
        <w:tc>
          <w:tcPr>
            <w:tcW w:type="dxa" w:w="1440"/>
          </w:tcPr>
          <w:p>
            <w:r>
              <w:rPr>
                <w:rFonts w:ascii="Calibri" w:hAnsi="Calibri"/>
                <w:sz w:val="22"/>
              </w:rPr>
              <w:t>Multiple Directors (6)</w:t>
            </w:r>
          </w:p>
        </w:tc>
        <w:tc>
          <w:tcPr>
            <w:tcW w:type="dxa" w:w="1440"/>
          </w:tcPr>
          <w:p>
            <w:r>
              <w:rPr>
                <w:rFonts w:ascii="Calibri" w:hAnsi="Calibri"/>
                <w:sz w:val="22"/>
              </w:rPr>
              <w:t>Board of Directors</w:t>
            </w:r>
          </w:p>
        </w:tc>
        <w:tc>
          <w:tcPr>
            <w:tcW w:type="dxa" w:w="1440"/>
          </w:tcPr>
          <w:p>
            <w:r>
              <w:rPr>
                <w:rFonts w:ascii="Calibri" w:hAnsi="Calibri"/>
                <w:sz w:val="22"/>
              </w:rPr>
              <w:t>Award (Apr 23)</w:t>
            </w:r>
          </w:p>
        </w:tc>
        <w:tc>
          <w:tcPr>
            <w:tcW w:type="dxa" w:w="1440"/>
          </w:tcPr>
          <w:p>
            <w:r>
              <w:rPr>
                <w:rFonts w:ascii="Calibri" w:hAnsi="Calibri"/>
                <w:sz w:val="22"/>
              </w:rPr>
              <w:t>7,415 (total)</w:t>
            </w:r>
          </w:p>
        </w:tc>
        <w:tc>
          <w:tcPr>
            <w:tcW w:type="dxa" w:w="1440"/>
          </w:tcPr>
          <w:p>
            <w:r>
              <w:rPr>
                <w:rFonts w:ascii="Calibri" w:hAnsi="Calibri"/>
                <w:sz w:val="22"/>
              </w:rPr>
              <w:t>Acquire (A) — Equity Award</w:t>
            </w:r>
          </w:p>
        </w:tc>
      </w:tr>
      <w:tr>
        <w:tc>
          <w:tcPr>
            <w:tcW w:type="dxa" w:w="1440"/>
          </w:tcPr>
          <w:p>
            <w:r>
              <w:rPr>
                <w:rFonts w:ascii="Calibri" w:hAnsi="Calibri"/>
                <w:sz w:val="22"/>
              </w:rPr>
              <w:t>Apr 22, 2026</w:t>
            </w:r>
          </w:p>
        </w:tc>
        <w:tc>
          <w:tcPr>
            <w:tcW w:type="dxa" w:w="1440"/>
          </w:tcPr>
          <w:p>
            <w:r>
              <w:rPr>
                <w:rFonts w:ascii="Calibri" w:hAnsi="Calibri"/>
                <w:sz w:val="22"/>
              </w:rPr>
              <w:t>Hobbs, Nicholas</w:t>
            </w:r>
          </w:p>
        </w:tc>
        <w:tc>
          <w:tcPr>
            <w:tcW w:type="dxa" w:w="1440"/>
          </w:tcPr>
          <w:p>
            <w:r>
              <w:rPr>
                <w:rFonts w:ascii="Calibri" w:hAnsi="Calibri"/>
                <w:sz w:val="22"/>
              </w:rPr>
              <w:t>EVP and COO</w:t>
            </w:r>
          </w:p>
        </w:tc>
        <w:tc>
          <w:tcPr>
            <w:tcW w:type="dxa" w:w="1440"/>
          </w:tcPr>
          <w:p>
            <w:r>
              <w:rPr>
                <w:rFonts w:ascii="Calibri" w:hAnsi="Calibri"/>
                <w:sz w:val="22"/>
              </w:rPr>
              <w:t>Sale (Apr 22)</w:t>
            </w:r>
          </w:p>
        </w:tc>
        <w:tc>
          <w:tcPr>
            <w:tcW w:type="dxa" w:w="1440"/>
          </w:tcPr>
          <w:p>
            <w:r>
              <w:rPr>
                <w:rFonts w:ascii="Calibri" w:hAnsi="Calibri"/>
                <w:sz w:val="22"/>
              </w:rPr>
              <w:t>1,272</w:t>
            </w:r>
          </w:p>
        </w:tc>
        <w:tc>
          <w:tcPr>
            <w:tcW w:type="dxa" w:w="1440"/>
          </w:tcPr>
          <w:p>
            <w:r>
              <w:rPr>
                <w:rFonts w:ascii="Calibri" w:hAnsi="Calibri"/>
                <w:sz w:val="22"/>
              </w:rPr>
              <w:t>Dispose (S)</w:t>
            </w:r>
          </w:p>
        </w:tc>
      </w:tr>
      <w:tr>
        <w:tc>
          <w:tcPr>
            <w:tcW w:type="dxa" w:w="1440"/>
          </w:tcPr>
          <w:p>
            <w:r>
              <w:rPr>
                <w:rFonts w:ascii="Calibri" w:hAnsi="Calibri"/>
                <w:sz w:val="22"/>
              </w:rPr>
              <w:t>Apr 22, 2026</w:t>
            </w:r>
          </w:p>
        </w:tc>
        <w:tc>
          <w:tcPr>
            <w:tcW w:type="dxa" w:w="1440"/>
          </w:tcPr>
          <w:p>
            <w:r>
              <w:rPr>
                <w:rFonts w:ascii="Calibri" w:hAnsi="Calibri"/>
                <w:sz w:val="22"/>
              </w:rPr>
              <w:t>Thompson, James K.</w:t>
            </w:r>
          </w:p>
        </w:tc>
        <w:tc>
          <w:tcPr>
            <w:tcW w:type="dxa" w:w="1440"/>
          </w:tcPr>
          <w:p>
            <w:r>
              <w:rPr>
                <w:rFonts w:ascii="Calibri" w:hAnsi="Calibri"/>
                <w:sz w:val="22"/>
              </w:rPr>
              <w:t>Honorary Founding Director</w:t>
            </w:r>
          </w:p>
        </w:tc>
        <w:tc>
          <w:tcPr>
            <w:tcW w:type="dxa" w:w="1440"/>
          </w:tcPr>
          <w:p>
            <w:r>
              <w:rPr>
                <w:rFonts w:ascii="Calibri" w:hAnsi="Calibri"/>
                <w:sz w:val="22"/>
              </w:rPr>
              <w:t>Sale (Apr 21)</w:t>
            </w:r>
          </w:p>
        </w:tc>
        <w:tc>
          <w:tcPr>
            <w:tcW w:type="dxa" w:w="1440"/>
          </w:tcPr>
          <w:p>
            <w:r>
              <w:rPr>
                <w:rFonts w:ascii="Calibri" w:hAnsi="Calibri"/>
                <w:sz w:val="22"/>
              </w:rPr>
              <w:t>1,000</w:t>
            </w:r>
          </w:p>
        </w:tc>
        <w:tc>
          <w:tcPr>
            <w:tcW w:type="dxa" w:w="1440"/>
          </w:tcPr>
          <w:p>
            <w:r>
              <w:rPr>
                <w:rFonts w:ascii="Calibri" w:hAnsi="Calibri"/>
                <w:sz w:val="22"/>
              </w:rPr>
              <w:t>Dispose (S)</w:t>
            </w:r>
          </w:p>
        </w:tc>
      </w:tr>
    </w:tbl>
    <w:p>
      <w:r>
        <w:rPr>
          <w:rFonts w:ascii="Calibri" w:hAnsi="Calibri"/>
          <w:i/>
          <w:color w:val="525866"/>
          <w:sz w:val="22"/>
        </w:rPr>
        <w:t>Source: Insider Transaction Data (SEC Form 4 filings). Transaction codes: S = open-market sale; G = gift/charitable donation; A = equity award acquisition; J = other acquisition. All transactions filed between April 15, 2026 and July 14, 2026.</w:t>
      </w:r>
    </w:p>
    <w:p>
      <w:r>
        <w:rPr>
          <w:rFonts w:ascii="Calibri" w:hAnsi="Calibri"/>
          <w:b/>
          <w:color w:val="525866"/>
          <w:sz w:val="22"/>
        </w:rPr>
        <w:t xml:space="preserve">Analysis: </w:t>
      </w:r>
      <w:r>
        <w:rPr>
          <w:rFonts w:ascii="Calibri" w:hAnsi="Calibri"/>
          <w:color w:val="525866"/>
          <w:sz w:val="22"/>
        </w:rPr>
        <w:t xml:space="preserve">The insider transaction picture is mixed but not alarming. The most notable sales are from Darren Field (EVP &amp; President, Intermodal — 4,000 shares sold May 14) and Bradley Hicks (President, DCS — 7,644 shares sold May 15), both segment heads who sold into the stock’s post-Q1 rally. These are likely compensation-related sales (the stock had rallied ~14% from the April 15 close to the May 14–15 sale dates). The large Garrison gift (76,744 shares) is a charitable donation by the Honorary Founding Director and carries no negative signal. Critically, </w:t>
      </w:r>
    </w:p>
    <w:p>
      <w:r>
        <w:rPr>
          <w:rFonts w:ascii="Calibri" w:hAnsi="Calibri"/>
          <w:b/>
          <w:color w:val="525866"/>
          <w:sz w:val="22"/>
        </w:rPr>
        <w:t>no discretionary open-market purchases were recorded by any insider during the period</w:t>
      </w:r>
      <w:r>
        <w:rPr>
          <w:rFonts w:ascii="Calibri" w:hAnsi="Calibri"/>
          <w:color w:val="525866"/>
          <w:sz w:val="22"/>
        </w:rPr>
        <w:t xml:space="preserve"> — a mild negative signal given the stock’s 25% rally and proximity to analyst price targets. The six director equity award acquisitions on April 23 are routine annual compensation grants.</w:t>
      </w:r>
    </w:p>
    <w:p>
      <w:r>
        <w:rPr>
          <w:rFonts w:ascii="Calibri" w:hAnsi="Calibri"/>
          <w:b/>
          <w:color w:val="525866"/>
          <w:sz w:val="22"/>
        </w:rPr>
        <w:t xml:space="preserve">Hub Group (HUBG) Leadership Change: </w:t>
      </w:r>
      <w:r>
        <w:rPr>
          <w:rFonts w:ascii="Calibri" w:hAnsi="Calibri"/>
          <w:color w:val="525866"/>
          <w:sz w:val="22"/>
        </w:rPr>
        <w:t>Separately, peer Hub Group announced on May 27, 2026 that CFO Kevin Beth and COO Brian Meents both departed the company, with Todd Heeter appointed as interim CFO. This leadership disruption at a key intermodal competitor could create near-term market share opportunities for JBHT in the Dedicated and intermodal segments.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