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nj-earnings-predictions--2026-07-15"/>
    <w:p>
      <w:pPr>
        <w:pStyle w:val="Heading1"/>
      </w:pPr>
      <w:r>
        <w:t xml:space="preserve">JNJ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~$2.93 vs. cons $2.86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~$25.15B vs. cons $25.03B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Innovative Medicine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~$16.35B vs. cons $16.1B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~$11.60 vs. cons $11.55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Reported sales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~$101.0B vs. cons $100.8B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MedTech organic growth (Q2'26)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~+4.5% vs. cons +5.25% (Q2'26)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 MedTech/EP China VBP headwind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~-100bps drag vs. cons ~0bps (2H'26)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-0.3% (FADE)</w:t>
            </w:r>
          </w:p>
        </w:tc>
        <w:tc>
          <w:tcPr/>
          <w:p>
            <w:pPr>
              <w:pStyle w:val="Compact"/>
            </w:pPr>
            <w:r>
              <w:t xml:space="preserve">A beat + modest raise likely sparks a small day-1 pop, but the raise is largely FX/beat flow-through rather than an underlying step-up. Out-period math is capped by known 2H headwinds (China VBP in EP, continued STELARA erosion, heavy 1H launch investment/tariff margin pressure) and soft MedTech, so consensus out-quarters get trimmed even after a beat. With the stock up ~22% YTD, near ATH (~$267 on 7/7) and already down 5% into the print, profit-taking and a demanding bar drive a fade back toward flat.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2026-07-15T00:15:44Z</dcterms:created>
  <dcterms:modified xsi:type="dcterms:W3CDTF">2026-07-15T00:15:44Z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