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jnj-earnings-predictions--2026-07-15"/>
    <w:p>
      <w:pPr>
        <w:pStyle w:val="Heading1"/>
      </w:pPr>
      <w:r>
        <w:t xml:space="preserve">JNJ Earnings Predictions — 2026-07-15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JNJ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~$2.91 vs. cons $2.86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JNJ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Total Revenue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~$25.6B vs. cons $25.3B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JNJ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Innovative Medicine Segment Sales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~$16.35B vs. cons $16.1B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JNJ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Operational Sales Guidance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~$100.6B vs. cons $100.2B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JNJ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Adjusted Operational EPS Guidance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~$11.55 vs. cons $11.42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JNJ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Adjusted Pretax Operating Margin Expansion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~+55bps vs. cons +50bps (FY2026)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JNJ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+0.9%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JNJ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-0.6% (FADE)</w:t>
            </w:r>
          </w:p>
        </w:tc>
        <w:tc>
          <w:tcPr/>
          <w:p>
            <w:pPr>
              <w:pStyle w:val="Compact"/>
            </w:pPr>
            <w:r>
              <w:t xml:space="preserve">Stock has run +24% YTD to all-time highs pricing in a beat-and-raise, so even a solid Q2 (EPS/sales beat, modest FY raise) likely triggers only a muted pop on day 1. Because Q1's raise was already sizable and margin recovery (Innovative Medicine/MedTech) is only gradually reversing per management's own H1-loaded investment framing, the incremental FY raise this quarter is unlikely to match the magnitude of the quarterly beat - implying H2 buy-side numbers get trimmed at the margin even as headline Q2 prints clean. Combined with a stretched ~22x+ multiple after the rally, this sets up profit-taking/consolidation over the following days (sell-the-news fade) rather than continued follow-through, absent a much larger-than-expected guidance raise or ICOTYDE ramp surprise.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2026-07-15T00:12:08Z</dcterms:created>
  <dcterms:modified xsi:type="dcterms:W3CDTF">2026-07-15T00:12:08Z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