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X154939d1910abfc3112989b30387c263cd5e49f"/>
    <w:p>
      <w:pPr>
        <w:pStyle w:val="Heading1"/>
      </w:pPr>
      <w:r>
        <w:t xml:space="preserve">Johnson &amp; Johnson (JNJ) — Q2 2026 Earnings Preview</w:t>
      </w:r>
    </w:p>
    <w:p>
      <w:pPr>
        <w:pStyle w:val="FirstParagraph"/>
      </w:pPr>
      <w:r>
        <w:rPr>
          <w:b/>
          <w:bCs/>
        </w:rPr>
        <w:t xml:space="preserve">Report Date:</w:t>
      </w:r>
      <w:r>
        <w:t xml:space="preserve"> </w:t>
      </w:r>
      <w:r>
        <w:t xml:space="preserve">Wednesday, July 15, 2026 (before market open) |</w:t>
      </w:r>
      <w:r>
        <w:t xml:space="preserve"> </w:t>
      </w:r>
      <w:r>
        <w:rPr>
          <w:b/>
          <w:bCs/>
        </w:rPr>
        <w:t xml:space="preserve">Event:</w:t>
      </w:r>
      <w:r>
        <w:t xml:space="preserve"> </w:t>
      </w:r>
      <w:r>
        <w:t xml:space="preserve">2026Q2 Earnings Call</w:t>
      </w:r>
    </w:p>
    <w:p>
      <w:r>
        <w:pict>
          <v:rect style="width:0;height:1.5pt" o:hralign="center" o:hrstd="t" o:hr="t"/>
        </w:pict>
      </w:r>
    </w:p>
    <w:bookmarkStart w:id="9" w:name="Xed37065065800b8566a8f773e10549ab4d56d49"/>
    <w:p>
      <w:pPr>
        <w:pStyle w:val="Heading2"/>
      </w:pPr>
      <w:r>
        <w:t xml:space="preserve">1. Setup: Stock at All-Time Highs Heading Into the Print</w:t>
      </w:r>
    </w:p>
    <w:p>
      <w:pPr>
        <w:pStyle w:val="FirstParagraph"/>
      </w:pPr>
      <w:r>
        <w:t xml:space="preserve">JNJ enters this report in a very different position than it has for most of the past few years — as a momentum stock. Shares have surged from roughly $207 at the start of 2026 to a fresh all-time high near $269 in early July, before settling around $254-258 heading into the print. Per recent coverage, JNJ shares hit fresh all-time highs of $269 heading into the report and are up more than 24% year-to-date in 2026, with one report noting a 71% total return over the trailing twelve months. That rally has been accompanied by a wave of sell-side price-target increases (RBC to $287, TD Cowen to $300, Guggenheim to $270, Wells Fargo $263, and a May upgrade from Leerink to Outperform with a $265 target that shares have already surpassed), reflecting rising conviction in the growth story but also raising the bar for what the market will consider "good enough."</w:t>
      </w:r>
    </w:p>
    <w:p>
      <w:pPr>
        <w:pStyle w:val="BodyText"/>
      </w:pPr>
      <w:r>
        <w:t xml:space="preserve">That means</w:t>
      </w:r>
      <w:r>
        <w:t xml:space="preserve"> </w:t>
      </w:r>
      <w:r>
        <w:rPr>
          <w:b/>
          <w:bCs/>
        </w:rPr>
        <w:t xml:space="preserve">expectations, not just results, matter</w:t>
      </w:r>
      <w:r>
        <w:t xml:space="preserve"> </w:t>
      </w:r>
      <w:r>
        <w:t xml:space="preserve">— a in-line quarter with cautious commentary could disappoint a stock priced for continued acceleration, whereas confirmation of the "double-digit growth by decade-end" narrative would likely be well received.</w:t>
      </w:r>
    </w:p>
    <w:bookmarkEnd w:id="9"/>
    <w:bookmarkStart w:id="10" w:name="X6e0425377e94129ccdfc01a4b5bed7e4191ba5b"/>
    <w:p>
      <w:pPr>
        <w:pStyle w:val="Heading2"/>
      </w:pPr>
      <w:r>
        <w:t xml:space="preserve">2. Consensus Expectations for Q2</w:t>
      </w:r>
    </w:p>
    <w:p>
      <w:pPr>
        <w:pStyle w:val="Compact"/>
        <w:numPr>
          <w:ilvl w:val="0"/>
          <w:numId w:val="1001"/>
        </w:numPr>
      </w:pPr>
      <w:r>
        <w:rPr>
          <w:b/>
          <w:bCs/>
        </w:rPr>
        <w:t xml:space="preserve">EPS:</w:t>
      </w:r>
      <w:r>
        <w:t xml:space="preserve"> </w:t>
      </w:r>
      <w:r>
        <w:t xml:space="preserve">~</w:t>
      </w:r>
      <m:oMath>
        <m:r>
          <m:t>2.85</m:t>
        </m:r>
        <m:r>
          <m:rPr>
            <m:sty m:val="p"/>
          </m:rPr>
          <m:t>–</m:t>
        </m:r>
      </m:oMath>
      <w:r>
        <w:t xml:space="preserve">2.87 (adjusted), consensus around $2.86</w:t>
      </w:r>
    </w:p>
    <w:p>
      <w:pPr>
        <w:pStyle w:val="Compact"/>
        <w:numPr>
          <w:ilvl w:val="0"/>
          <w:numId w:val="1001"/>
        </w:numPr>
      </w:pPr>
      <w:r>
        <w:rPr>
          <w:b/>
          <w:bCs/>
        </w:rPr>
        <w:t xml:space="preserve">Revenue:</w:t>
      </w:r>
      <w:r>
        <w:t xml:space="preserve"> </w:t>
      </w:r>
      <w:r>
        <w:t xml:space="preserve">~$25.0–25.5B, up roughly 5.4% (some estimates as high as $25.48B)</w:t>
      </w:r>
    </w:p>
    <w:p>
      <w:pPr>
        <w:pStyle w:val="Compact"/>
        <w:numPr>
          <w:ilvl w:val="0"/>
          <w:numId w:val="1001"/>
        </w:numPr>
      </w:pPr>
      <w:r>
        <w:rPr>
          <w:b/>
          <w:bCs/>
        </w:rPr>
        <w:t xml:space="preserve">Innovative Medicine:</w:t>
      </w:r>
      <w:r>
        <w:t xml:space="preserve"> </w:t>
      </w:r>
      <w:r>
        <w:t xml:space="preserve">~$16.1B, up ~6%</w:t>
      </w:r>
    </w:p>
    <w:p>
      <w:pPr>
        <w:pStyle w:val="Compact"/>
        <w:numPr>
          <w:ilvl w:val="0"/>
          <w:numId w:val="1001"/>
        </w:numPr>
      </w:pPr>
      <w:r>
        <w:rPr>
          <w:b/>
          <w:bCs/>
        </w:rPr>
        <w:t xml:space="preserve">MedTech:</w:t>
      </w:r>
      <w:r>
        <w:t xml:space="preserve"> </w:t>
      </w:r>
      <w:r>
        <w:t xml:space="preserve">~$8.9B, up ~5.25%</w:t>
      </w:r>
    </w:p>
    <w:p>
      <w:pPr>
        <w:pStyle w:val="FirstParagraph"/>
      </w:pPr>
      <w:r>
        <w:t xml:space="preserve">Sentiment heading in is described as bullish, driven by favorable portfolio reshuffling, solid execution, and positive drug-data readouts.</w:t>
      </w:r>
    </w:p>
    <w:bookmarkEnd w:id="10"/>
    <w:bookmarkStart w:id="11" w:name="X4a0d549e529f5c4a4fee2083ad0d09fa4b561ac"/>
    <w:p>
      <w:pPr>
        <w:pStyle w:val="Heading2"/>
      </w:pPr>
      <w:r>
        <w:t xml:space="preserve">3. What Happened Last Quarter (Q1 2026 Recap) — Set-Up for Q2</w:t>
      </w:r>
    </w:p>
    <w:p>
      <w:pPr>
        <w:pStyle w:val="FirstParagraph"/>
      </w:pPr>
      <w:r>
        <w:t xml:space="preserve">Q1 was a clean beat-and-raise, and management's tone was confident about acceleration through the year:</w:t>
      </w:r>
    </w:p>
    <w:p>
      <w:pPr>
        <w:pStyle w:val="Compact"/>
        <w:numPr>
          <w:ilvl w:val="0"/>
          <w:numId w:val="1002"/>
        </w:numPr>
      </w:pPr>
      <w:r>
        <w:rPr>
          <w:b/>
          <w:bCs/>
        </w:rPr>
        <w:t xml:space="preserve">Sales:</w:t>
      </w:r>
      <w:r>
        <w:t xml:space="preserve"> </w:t>
      </w:r>
      <w:r>
        <w:t xml:space="preserve">$24.1B, up 6.4% operationally (9.9% reported), with growth excluding STELARA's biosimilar-driven decline running in the</w:t>
      </w:r>
      <w:r>
        <w:t xml:space="preserve"> </w:t>
      </w:r>
      <w:r>
        <w:rPr>
          <w:b/>
          <w:bCs/>
        </w:rPr>
        <w:t xml:space="preserve">double digits</w:t>
      </w:r>
      <w:r>
        <w:t xml:space="preserve">.</w:t>
      </w:r>
    </w:p>
    <w:p>
      <w:pPr>
        <w:pStyle w:val="Compact"/>
        <w:numPr>
          <w:ilvl w:val="0"/>
          <w:numId w:val="1002"/>
        </w:numPr>
      </w:pPr>
      <w:r>
        <w:rPr>
          <w:b/>
          <w:bCs/>
        </w:rPr>
        <w:t xml:space="preserve">Innovative Medicine</w:t>
      </w:r>
      <w:r>
        <w:t xml:space="preserve"> </w:t>
      </w:r>
      <w:r>
        <w:t xml:space="preserve">grew 7.4% operationally ($15.4B), led by DARZALEX (+17.8%), CARVYKTI (+57.4%), TECVAYLI (+30.1%), TREMFYA (+63.8%), and RYBREVANT/LAZCLUZE (+80.5%), even as STELARA declined 61.7% on biosimilar erosion (a ~920bps drag).</w:t>
      </w:r>
    </w:p>
    <w:p>
      <w:pPr>
        <w:pStyle w:val="Compact"/>
        <w:numPr>
          <w:ilvl w:val="0"/>
          <w:numId w:val="1002"/>
        </w:numPr>
      </w:pPr>
      <w:r>
        <w:rPr>
          <w:b/>
          <w:bCs/>
        </w:rPr>
        <w:t xml:space="preserve">MedTech</w:t>
      </w:r>
      <w:r>
        <w:t xml:space="preserve"> </w:t>
      </w:r>
      <w:r>
        <w:t xml:space="preserve">grew 4.6% operationally ($8.6B), with electrophysiology +9.5%, Abiomed +14.4%, and Shockwave +18.1% offsetting softer Surgery (+1.2%) and mixed Vision results.</w:t>
      </w:r>
    </w:p>
    <w:p>
      <w:pPr>
        <w:pStyle w:val="Compact"/>
        <w:numPr>
          <w:ilvl w:val="0"/>
          <w:numId w:val="1002"/>
        </w:numPr>
      </w:pPr>
      <w:r>
        <w:rPr>
          <w:b/>
          <w:bCs/>
        </w:rPr>
        <w:t xml:space="preserve">EPS:</w:t>
      </w:r>
      <w:r>
        <w:t xml:space="preserve"> </w:t>
      </w:r>
      <w:r>
        <w:t xml:space="preserve">Adjusted EPS of $2.70, down 2.5% y/y, pressured by margin compression (Innovative Medicine margin fell from 42.5% to 39.7%; MedTech margin fell from 25.9% to 22.3%) due to heavier launch investment, tariffs, and unfavorable mix — importantly,</w:t>
      </w:r>
      <w:r>
        <w:t xml:space="preserve"> </w:t>
      </w:r>
      <w:r>
        <w:rPr>
          <w:b/>
          <w:bCs/>
        </w:rPr>
        <w:t xml:space="preserve">front-loaded investment that management flagged would weigh most heavily on H1</w:t>
      </w:r>
      <w:r>
        <w:t xml:space="preserve">.</w:t>
      </w:r>
    </w:p>
    <w:p>
      <w:pPr>
        <w:pStyle w:val="Compact"/>
        <w:numPr>
          <w:ilvl w:val="0"/>
          <w:numId w:val="1002"/>
        </w:numPr>
      </w:pPr>
      <w:r>
        <w:rPr>
          <w:b/>
          <w:bCs/>
        </w:rPr>
        <w:t xml:space="preserve">Guidance was raised</w:t>
      </w:r>
      <w:r>
        <w:t xml:space="preserve">: full-year 2026 operational sales guidance lifted to $99.7–100.7B (midpoint $100.2B, +6.4%), and adjusted operational EPS raised to</w:t>
      </w:r>
      <w:r>
        <w:t xml:space="preserve"> </w:t>
      </w:r>
      <m:oMath>
        <m:r>
          <m:t>11.30</m:t>
        </m:r>
        <m:r>
          <m:rPr>
            <m:sty m:val="p"/>
          </m:rPr>
          <m:t>–</m:t>
        </m:r>
      </m:oMath>
      <w:r>
        <w:t xml:space="preserve">11.50. Management reaffirmed the</w:t>
      </w:r>
      <w:r>
        <w:t xml:space="preserve"> </w:t>
      </w:r>
      <w:r>
        <w:rPr>
          <w:b/>
          <w:bCs/>
        </w:rPr>
        <w:t xml:space="preserve">$100 billion revenue milestone for 2026</w:t>
      </w:r>
      <w:r>
        <w:t xml:space="preserve"> </w:t>
      </w:r>
      <w:r>
        <w:t xml:space="preserve">and reiterated a "line of sight to double-digit top-line growth by the end of the decade."</w:t>
      </w:r>
    </w:p>
    <w:p>
      <w:pPr>
        <w:pStyle w:val="Compact"/>
        <w:numPr>
          <w:ilvl w:val="0"/>
          <w:numId w:val="1002"/>
        </w:numPr>
      </w:pPr>
      <w:r>
        <w:rPr>
          <w:b/>
          <w:bCs/>
        </w:rPr>
        <w:t xml:space="preserve">Capital returns</w:t>
      </w:r>
      <w:r>
        <w:t xml:space="preserve">: the Board approved a 3.1% dividend increase to</w:t>
      </w:r>
      <w:r>
        <w:t xml:space="preserve"> </w:t>
      </w:r>
      <m:oMath>
        <m:r>
          <m:t>5.36</m:t>
        </m:r>
        <m:r>
          <m:rPr>
            <m:sty m:val="p"/>
          </m:rPr>
          <m:t>/</m:t>
        </m:r>
        <m:r>
          <m:t>s</m:t>
        </m:r>
        <m:r>
          <m:t>h</m:t>
        </m:r>
        <m:r>
          <m:t>a</m:t>
        </m:r>
        <m:r>
          <m:t>r</m:t>
        </m:r>
        <m:r>
          <m:t>e</m:t>
        </m:r>
        <m:r>
          <m:t>a</m:t>
        </m:r>
        <m:r>
          <m:t>n</m:t>
        </m:r>
        <m:r>
          <m:t>n</m:t>
        </m:r>
        <m:r>
          <m:t>u</m:t>
        </m:r>
        <m:r>
          <m:t>a</m:t>
        </m:r>
        <m:r>
          <m:t>l</m:t>
        </m:r>
        <m:r>
          <m:t>l</m:t>
        </m:r>
        <m:r>
          <m:t>y</m:t>
        </m:r>
        <m:r>
          <m:rPr>
            <m:sty m:val="p"/>
          </m:rPr>
          <m:t>—</m:t>
        </m:r>
        <m:r>
          <m:t>t</m:t>
        </m:r>
        <m:r>
          <m:t>h</m:t>
        </m:r>
        <m:r>
          <m:t>e</m:t>
        </m:r>
        <m:r>
          <m:rPr>
            <m:sty m:val="p"/>
          </m:rPr>
          <m:t>*</m:t>
        </m:r>
        <m:r>
          <m:rPr>
            <m:sty m:val="p"/>
          </m:rPr>
          <m:t>*</m:t>
        </m:r>
        <m:r>
          <m:t>64</m:t>
        </m:r>
        <m:r>
          <m:t>t</m:t>
        </m:r>
        <m:r>
          <m:t>h</m:t>
        </m:r>
        <m:r>
          <m:t>c</m:t>
        </m:r>
        <m:r>
          <m:t>o</m:t>
        </m:r>
        <m:r>
          <m:t>n</m:t>
        </m:r>
        <m:r>
          <m:t>s</m:t>
        </m:r>
        <m:r>
          <m:t>e</m:t>
        </m:r>
        <m:r>
          <m:t>c</m:t>
        </m:r>
        <m:r>
          <m:t>u</m:t>
        </m:r>
        <m:r>
          <m:t>t</m:t>
        </m:r>
        <m:r>
          <m:t>i</m:t>
        </m:r>
        <m:r>
          <m:t>v</m:t>
        </m:r>
        <m:r>
          <m:t>e</m:t>
        </m:r>
        <m:r>
          <m:t>y</m:t>
        </m:r>
        <m:r>
          <m:t>e</m:t>
        </m:r>
        <m:r>
          <m:t>a</m:t>
        </m:r>
        <m:r>
          <m:t>r</m:t>
        </m:r>
        <m:r>
          <m:t>o</m:t>
        </m:r>
        <m:r>
          <m:t>f</m:t>
        </m:r>
        <m:r>
          <m:t>d</m:t>
        </m:r>
        <m:r>
          <m:t>i</m:t>
        </m:r>
        <m:r>
          <m:t>v</m:t>
        </m:r>
        <m:r>
          <m:t>i</m:t>
        </m:r>
        <m:r>
          <m:t>d</m:t>
        </m:r>
        <m:r>
          <m:t>e</m:t>
        </m:r>
        <m:r>
          <m:t>n</m:t>
        </m:r>
        <m:r>
          <m:t>d</m:t>
        </m:r>
        <m:r>
          <m:t>g</m:t>
        </m:r>
        <m:r>
          <m:t>r</m:t>
        </m:r>
        <m:r>
          <m:t>o</m:t>
        </m:r>
        <m:r>
          <m:t>w</m:t>
        </m:r>
        <m:r>
          <m:t>t</m:t>
        </m:r>
        <m:r>
          <m:t>h</m:t>
        </m:r>
        <m:r>
          <m:rPr>
            <m:sty m:val="p"/>
          </m:rPr>
          <m:t>*</m:t>
        </m:r>
        <m:r>
          <m:rPr>
            <m:sty m:val="p"/>
          </m:rPr>
          <m:t>*</m:t>
        </m:r>
        <m:r>
          <m:rPr>
            <m:sty m:val="p"/>
          </m:rPr>
          <m:t>—</m:t>
        </m:r>
        <m:r>
          <m:t>a</m:t>
        </m:r>
        <m:r>
          <m:t>n</m:t>
        </m:r>
        <m:r>
          <m:t>d</m:t>
        </m:r>
        <m:r>
          <m:t>f</m:t>
        </m:r>
        <m:r>
          <m:t>r</m:t>
        </m:r>
        <m:r>
          <m:t>e</m:t>
        </m:r>
        <m:r>
          <m:t>e</m:t>
        </m:r>
        <m:r>
          <m:t>c</m:t>
        </m:r>
        <m:r>
          <m:t>a</m:t>
        </m:r>
        <m:r>
          <m:t>s</m:t>
        </m:r>
        <m:r>
          <m:t>h</m:t>
        </m:r>
        <m:r>
          <m:t>f</m:t>
        </m:r>
        <m:r>
          <m:t>l</m:t>
        </m:r>
        <m:r>
          <m:t>o</m:t>
        </m:r>
        <m:r>
          <m:t>w</m:t>
        </m:r>
        <m:r>
          <m:t>g</m:t>
        </m:r>
        <m:r>
          <m:t>u</m:t>
        </m:r>
        <m:r>
          <m:t>i</m:t>
        </m:r>
        <m:r>
          <m:t>d</m:t>
        </m:r>
        <m:r>
          <m:t>a</m:t>
        </m:r>
        <m:r>
          <m:t>n</m:t>
        </m:r>
        <m:r>
          <m:t>c</m:t>
        </m:r>
        <m:r>
          <m:t>e</m:t>
        </m:r>
        <m:r>
          <m:t>o</m:t>
        </m:r>
        <m:r>
          <m:t>f</m:t>
        </m:r>
        <m:r>
          <m:t> </m:t>
        </m:r>
      </m:oMath>
      <w:r>
        <w:t xml:space="preserve">21B was reaffirmed despite a soft $1.5B Q1 print (attributed to rebate-payment timing and capex phasing).</w:t>
      </w:r>
    </w:p>
    <w:p>
      <w:pPr>
        <w:pStyle w:val="FirstParagraph"/>
      </w:pPr>
      <w:r>
        <w:rPr>
          <w:b/>
          <w:bCs/>
        </w:rPr>
        <w:t xml:space="preserve">Key implication for Q2:</w:t>
      </w:r>
      <w:r>
        <w:t xml:space="preserve"> </w:t>
      </w:r>
      <w:r>
        <w:t xml:space="preserve">management explicitly guided to "fairly consistent operational sales growth throughout the year" with margins improving as the year progresses (launch investment front-loaded in H1, 4Q boosted by a 53rd week). That sets up Q2 as a read on whether the growth is tracking as promised and whether the margin drag from Q1 is beginning to ease.</w:t>
      </w:r>
    </w:p>
    <w:bookmarkEnd w:id="11"/>
    <w:bookmarkStart w:id="12" w:name="Xc013ef326ad95dd4ef41c68463fcf4de26de2c8"/>
    <w:p>
      <w:pPr>
        <w:pStyle w:val="Heading2"/>
      </w:pPr>
      <w:r>
        <w:t xml:space="preserve">4. Growth Drivers to Watch This Quarter</w:t>
      </w:r>
    </w:p>
    <w:p>
      <w:pPr>
        <w:pStyle w:val="FirstParagraph"/>
      </w:pPr>
      <w:r>
        <w:rPr>
          <w:b/>
          <w:bCs/>
        </w:rPr>
        <w:t xml:space="preserve">Innovative Medicine</w:t>
      </w:r>
    </w:p>
    <w:p>
      <w:pPr>
        <w:pStyle w:val="Compact"/>
        <w:numPr>
          <w:ilvl w:val="0"/>
          <w:numId w:val="1003"/>
        </w:numPr>
      </w:pPr>
      <w:r>
        <w:rPr>
          <w:b/>
          <w:bCs/>
        </w:rPr>
        <w:t xml:space="preserve">ICOTYDE</w:t>
      </w:r>
      <w:r>
        <w:t xml:space="preserve"> </w:t>
      </w:r>
      <w:r>
        <w:t xml:space="preserve">(icotrokinra) — the first oral IL-23-targeted peptide for plaque psoriasis, approved and launched in March 2026. Management called it a potential "one of our biggest products ever," and after receiving a permanent J-code on April 1, the ramp in prescriptions/payer access will be a focal point (only ~1,500 scripts were reported as of the Q1 call — investors will want to see this scaling).</w:t>
      </w:r>
    </w:p>
    <w:p>
      <w:pPr>
        <w:pStyle w:val="Compact"/>
        <w:numPr>
          <w:ilvl w:val="0"/>
          <w:numId w:val="1003"/>
        </w:numPr>
      </w:pPr>
      <w:r>
        <w:rPr>
          <w:b/>
          <w:bCs/>
        </w:rPr>
        <w:t xml:space="preserve">TREMFYA</w:t>
      </w:r>
      <w:r>
        <w:t xml:space="preserve"> </w:t>
      </w:r>
      <w:r>
        <w:t xml:space="preserve">— still the fastest-growing IL-23 franchise, guided toward &gt;$10B peak sales; watch for continued IBD share gains and progress on the psoriatic-arthritis structural-damage label expansion.</w:t>
      </w:r>
    </w:p>
    <w:p>
      <w:pPr>
        <w:pStyle w:val="Compact"/>
        <w:numPr>
          <w:ilvl w:val="0"/>
          <w:numId w:val="1003"/>
        </w:numPr>
      </w:pPr>
      <w:r>
        <w:rPr>
          <w:b/>
          <w:bCs/>
        </w:rPr>
        <w:t xml:space="preserve">Oncology depth</w:t>
      </w:r>
      <w:r>
        <w:t xml:space="preserve"> </w:t>
      </w:r>
      <w:r>
        <w:t xml:space="preserve">— DARZALEX, CARVYKTI, TECVAYLI/TALVEY (multiple myeloma), RYBREVANT/LAZCLUZE (lung, plus new head &amp; neck breakthrough designation), and INLEXZO (bladder cancer, which saw a reported 50–90% jump in new patient insertions after its April J-code) are all key growth contributors to monitor for continued share gains.</w:t>
      </w:r>
    </w:p>
    <w:p>
      <w:pPr>
        <w:pStyle w:val="Compact"/>
        <w:numPr>
          <w:ilvl w:val="0"/>
          <w:numId w:val="1003"/>
        </w:numPr>
      </w:pPr>
      <w:r>
        <w:rPr>
          <w:b/>
          <w:bCs/>
        </w:rPr>
        <w:t xml:space="preserve">STELARA erosion</w:t>
      </w:r>
      <w:r>
        <w:t xml:space="preserve"> </w:t>
      </w:r>
      <w:r>
        <w:t xml:space="preserve">— biosimilar competition remains a large drag (~900+ bps headwind); the pace of decline vs. offsetting new-launch strength is central to the segment's reported growth rate.</w:t>
      </w:r>
    </w:p>
    <w:p>
      <w:pPr>
        <w:pStyle w:val="Compact"/>
        <w:numPr>
          <w:ilvl w:val="0"/>
          <w:numId w:val="1003"/>
        </w:numPr>
      </w:pPr>
      <w:r>
        <w:rPr>
          <w:b/>
          <w:bCs/>
        </w:rPr>
        <w:t xml:space="preserve">CAPLYTA</w:t>
      </w:r>
      <w:r>
        <w:t xml:space="preserve"> </w:t>
      </w:r>
      <w:r>
        <w:t xml:space="preserve">(from the Intra-Cellular acquisition) — momentum in adjunctive MDD, with bipolar mania data expected later in 2026 and a &gt;$5B peak sales target.</w:t>
      </w:r>
    </w:p>
    <w:p>
      <w:pPr>
        <w:pStyle w:val="FirstParagraph"/>
      </w:pPr>
      <w:r>
        <w:rPr>
          <w:b/>
          <w:bCs/>
        </w:rPr>
        <w:t xml:space="preserve">MedTech</w:t>
      </w:r>
    </w:p>
    <w:p>
      <w:pPr>
        <w:pStyle w:val="Compact"/>
        <w:numPr>
          <w:ilvl w:val="0"/>
          <w:numId w:val="1004"/>
        </w:numPr>
      </w:pPr>
      <w:r>
        <w:rPr>
          <w:b/>
          <w:bCs/>
        </w:rPr>
        <w:t xml:space="preserve">Cardiovascular</w:t>
      </w:r>
      <w:r>
        <w:t xml:space="preserve"> </w:t>
      </w:r>
      <w:r>
        <w:t xml:space="preserve">remains the strongest sub-segment: Abiomed (Impella), Shockwave (IVL), and electrophysiology (VARIPULSE/VARIPULSE Pro post-field ablation platform) all posted double-digit growth in Q1; watch for commentary on the Dual Energy THERMOCOOL SMARTTOUCH SF Catheter U.S. submission and any incremental China volume-based procurement (VBP) impact flagged for H2.</w:t>
      </w:r>
    </w:p>
    <w:p>
      <w:pPr>
        <w:pStyle w:val="Compact"/>
        <w:numPr>
          <w:ilvl w:val="0"/>
          <w:numId w:val="1004"/>
        </w:numPr>
      </w:pPr>
      <w:r>
        <w:rPr>
          <w:b/>
          <w:bCs/>
        </w:rPr>
        <w:t xml:space="preserve">Surgery</w:t>
      </w:r>
      <w:r>
        <w:t xml:space="preserve"> </w:t>
      </w:r>
      <w:r>
        <w:t xml:space="preserve">— soft in Q1 (+1.2%) on competitive and VBP pressure; OTTAVA robotic surgery progress (de novo filing, second IDE trial) is a longer-dated catalyst, not a near-term swing factor.</w:t>
      </w:r>
    </w:p>
    <w:p>
      <w:pPr>
        <w:pStyle w:val="Compact"/>
        <w:numPr>
          <w:ilvl w:val="0"/>
          <w:numId w:val="1004"/>
        </w:numPr>
      </w:pPr>
      <w:r>
        <w:rPr>
          <w:b/>
          <w:bCs/>
        </w:rPr>
        <w:t xml:space="preserve">Vision</w:t>
      </w:r>
      <w:r>
        <w:t xml:space="preserve"> </w:t>
      </w:r>
      <w:r>
        <w:t xml:space="preserve">— U.S. Surgical Vision saw competitive pressure in Q1; management guided to acceleration in H2 behind the TECNIS PureSee U.S. launch.</w:t>
      </w:r>
    </w:p>
    <w:p>
      <w:pPr>
        <w:pStyle w:val="Compact"/>
        <w:numPr>
          <w:ilvl w:val="0"/>
          <w:numId w:val="1004"/>
        </w:numPr>
      </w:pPr>
      <w:r>
        <w:rPr>
          <w:b/>
          <w:bCs/>
        </w:rPr>
        <w:t xml:space="preserve">Orthopaedics separation</w:t>
      </w:r>
      <w:r>
        <w:t xml:space="preserve"> </w:t>
      </w:r>
      <w:r>
        <w:t xml:space="preserve">— J&amp;J continues working toward a mid-2027 separation of DePuy Synthes; any updated timeline or structure commentary would be a key data point, particularly ahead of the December 8, 2026 Enterprise Business Review where more detail on long-term strategy is expected.</w:t>
      </w:r>
    </w:p>
    <w:bookmarkEnd w:id="12"/>
    <w:bookmarkStart w:id="13" w:name="X7190ec4702629dbe8e5c7c46d63763d7087a61f"/>
    <w:p>
      <w:pPr>
        <w:pStyle w:val="Heading2"/>
      </w:pPr>
      <w:r>
        <w:t xml:space="preserve">5. Margins, Tariffs, and Policy Overhangs</w:t>
      </w:r>
    </w:p>
    <w:p>
      <w:pPr>
        <w:pStyle w:val="Compact"/>
        <w:numPr>
          <w:ilvl w:val="0"/>
          <w:numId w:val="1005"/>
        </w:numPr>
      </w:pPr>
      <w:r>
        <w:t xml:space="preserve">Management guided to</w:t>
      </w:r>
      <w:r>
        <w:t xml:space="preserve"> </w:t>
      </w:r>
      <w:r>
        <w:rPr>
          <w:b/>
          <w:bCs/>
        </w:rPr>
        <w:t xml:space="preserve">adjusted pretax operating margin improving by at least 50bps in 2026</w:t>
      </w:r>
      <w:r>
        <w:t xml:space="preserve">, net of costs from the 53rd fiscal week and the</w:t>
      </w:r>
      <w:r>
        <w:t xml:space="preserve"> </w:t>
      </w:r>
      <w:r>
        <w:rPr>
          <w:b/>
          <w:bCs/>
        </w:rPr>
        <w:t xml:space="preserve">voluntary agreement with the U.S. government</w:t>
      </w:r>
      <w:r>
        <w:t xml:space="preserve"> </w:t>
      </w:r>
      <w:r>
        <w:t xml:space="preserve">to improve drug access/lower costs for U.S. patients — investors should listen for updates on how this pricing arrangement is tracking and whether tariff costs (which pressured MedTech COGS in Q1) are stabilizing or growing.</w:t>
      </w:r>
    </w:p>
    <w:p>
      <w:pPr>
        <w:pStyle w:val="Compact"/>
        <w:numPr>
          <w:ilvl w:val="0"/>
          <w:numId w:val="1005"/>
        </w:numPr>
      </w:pPr>
      <w:r>
        <w:t xml:space="preserve">R&amp;D spending has held steady at ~14.7% of sales; continued heavy investment behind launches (ICOTYDE, INLEXZO, CAPLYTA) should keep this elevated, but Q1's SG&amp;A deleverage was framed as front-loaded — Q2/H2 should show initial signs of leverage improving.</w:t>
      </w:r>
    </w:p>
    <w:bookmarkEnd w:id="13"/>
    <w:bookmarkStart w:id="14" w:name="X237be9362c022a7bd0fa823f8ae16159d99498e"/>
    <w:p>
      <w:pPr>
        <w:pStyle w:val="Heading2"/>
      </w:pPr>
      <w:r>
        <w:t xml:space="preserve">6. Litigation Overhang: Talc</w:t>
      </w:r>
    </w:p>
    <w:p>
      <w:pPr>
        <w:pStyle w:val="FirstParagraph"/>
      </w:pPr>
      <w:r>
        <w:t xml:space="preserve">Talc litigation remains a persistent, if largely priced-in, overhang. After J&amp;J's third attempt to resolve claims through its LTL Management bankruptcy subsidiary collapsed, litigation has resumed in courts, with a mix of trial outcomes (some in J&amp;J's favor, others large plaintiff verdicts). This is worth monitoring for any reserve changes or commentary, though it's a legacy/idiosyncratic risk rather than an operational one — note it is distinct from the recently revived Tylenol/acetaminophen-autism litigation, which targets</w:t>
      </w:r>
      <w:r>
        <w:t xml:space="preserve"> </w:t>
      </w:r>
      <w:r>
        <w:rPr>
          <w:b/>
          <w:bCs/>
        </w:rPr>
        <w:t xml:space="preserve">Kenvue</w:t>
      </w:r>
      <w:r>
        <w:t xml:space="preserve"> </w:t>
      </w:r>
      <w:r>
        <w:t xml:space="preserve">(the spun-off consumer health company), not JNJ directly, though headlines conflating the two occasionally cause investor confusion. A federal appeals court just revived hundreds of Tylenol-pregnancy lawsuits against Kenvue and retailers this week, reviving media attention on the "Johnson &amp; Johnson" name broadly even though liability now sits with Kenvue.</w:t>
      </w:r>
    </w:p>
    <w:bookmarkEnd w:id="14"/>
    <w:bookmarkStart w:id="15" w:name="X69dc327e1e3c0ff4b4283f3139d92038b57e1b7"/>
    <w:p>
      <w:pPr>
        <w:pStyle w:val="Heading2"/>
      </w:pPr>
      <w:r>
        <w:t xml:space="preserve">7. Valuation Context</w:t>
      </w:r>
    </w:p>
    <w:p>
      <w:pPr>
        <w:pStyle w:val="FirstParagraph"/>
      </w:pPr>
      <w:r>
        <w:t xml:space="preserve">JNJ currently trades at roughly 22x forward earnings — slightly below the S&amp;P 500 and in line with the large-cap pharma industry average — supported by a 2.09% dividend yield (above the S&amp;P 500 average) and a Dividend King status (55+ consecutive years of increases, per one report, though the company's own materials cite 64 years as of the April increase). Bulls argue the valuation still doesn't fully price in the "double-digit growth by decade-end" algorithm management has laid out.</w:t>
      </w:r>
    </w:p>
    <w:bookmarkEnd w:id="15"/>
    <w:bookmarkStart w:id="16" w:name="X5fc305bf7f1deee575e4c58bf1b81b7da793eec"/>
    <w:p>
      <w:pPr>
        <w:pStyle w:val="Heading2"/>
      </w:pPr>
      <w:r>
        <w:t xml:space="preserve">8. What to Watch on the Call</w:t>
      </w:r>
    </w:p>
    <w:p>
      <w:pPr>
        <w:pStyle w:val="Compact"/>
        <w:numPr>
          <w:ilvl w:val="0"/>
          <w:numId w:val="1006"/>
        </w:numPr>
      </w:pPr>
      <w:r>
        <w:rPr>
          <w:b/>
          <w:bCs/>
        </w:rPr>
        <w:t xml:space="preserve">Guidance revision</w:t>
      </w:r>
      <w:r>
        <w:t xml:space="preserve"> </w:t>
      </w:r>
      <w:r>
        <w:t xml:space="preserve">— does management raise full-year sales/EPS guidance again, and by how much? A raise smaller than recent quarters could disappoint a stock priced for acceleration.</w:t>
      </w:r>
    </w:p>
    <w:p>
      <w:pPr>
        <w:pStyle w:val="Compact"/>
        <w:numPr>
          <w:ilvl w:val="0"/>
          <w:numId w:val="1006"/>
        </w:numPr>
      </w:pPr>
      <w:r>
        <w:rPr>
          <w:b/>
          <w:bCs/>
        </w:rPr>
        <w:t xml:space="preserve">Margin trajectory</w:t>
      </w:r>
      <w:r>
        <w:t xml:space="preserve"> </w:t>
      </w:r>
      <w:r>
        <w:t xml:space="preserve">— signs that Q1's investment-driven margin compression is beginning to reverse as guided.</w:t>
      </w:r>
    </w:p>
    <w:p>
      <w:pPr>
        <w:pStyle w:val="Compact"/>
        <w:numPr>
          <w:ilvl w:val="0"/>
          <w:numId w:val="1006"/>
        </w:numPr>
      </w:pPr>
      <w:r>
        <w:rPr>
          <w:b/>
          <w:bCs/>
        </w:rPr>
        <w:t xml:space="preserve">ICOTYDE ramp</w:t>
      </w:r>
      <w:r>
        <w:t xml:space="preserve"> </w:t>
      </w:r>
      <w:r>
        <w:t xml:space="preserve">— updated prescription counts, payer coverage breadth, and early split between psoriasis vs. IBD-eligible patients.</w:t>
      </w:r>
    </w:p>
    <w:p>
      <w:pPr>
        <w:pStyle w:val="Compact"/>
        <w:numPr>
          <w:ilvl w:val="0"/>
          <w:numId w:val="1006"/>
        </w:numPr>
      </w:pPr>
      <w:r>
        <w:rPr>
          <w:b/>
          <w:bCs/>
        </w:rPr>
        <w:t xml:space="preserve">MedTech cardiovascular durability</w:t>
      </w:r>
      <w:r>
        <w:t xml:space="preserve"> </w:t>
      </w:r>
      <w:r>
        <w:t xml:space="preserve">— Abiomed/Shockwave growth rates and any incremental competitive or China VBP commentary.</w:t>
      </w:r>
    </w:p>
    <w:p>
      <w:pPr>
        <w:pStyle w:val="Compact"/>
        <w:numPr>
          <w:ilvl w:val="0"/>
          <w:numId w:val="1006"/>
        </w:numPr>
      </w:pPr>
      <w:r>
        <w:rPr>
          <w:b/>
          <w:bCs/>
        </w:rPr>
        <w:t xml:space="preserve">Orthopaedics separation</w:t>
      </w:r>
      <w:r>
        <w:t xml:space="preserve"> </w:t>
      </w:r>
      <w:r>
        <w:t xml:space="preserve">— any refinement of the mid-2027 timeline or structure ahead of the December 8 Enterprise Business Review.</w:t>
      </w:r>
    </w:p>
    <w:p>
      <w:pPr>
        <w:pStyle w:val="Compact"/>
        <w:numPr>
          <w:ilvl w:val="0"/>
          <w:numId w:val="1006"/>
        </w:numPr>
      </w:pPr>
      <w:r>
        <w:rPr>
          <w:b/>
          <w:bCs/>
        </w:rPr>
        <w:t xml:space="preserve">Tariff/pricing agreement impact</w:t>
      </w:r>
      <w:r>
        <w:t xml:space="preserve"> </w:t>
      </w:r>
      <w:r>
        <w:t xml:space="preserve">— quantification of costs versus the 50bps margin-improvement target.</w:t>
      </w:r>
    </w:p>
    <w:p>
      <w:pPr>
        <w:pStyle w:val="Compact"/>
        <w:numPr>
          <w:ilvl w:val="0"/>
          <w:numId w:val="1006"/>
        </w:numPr>
      </w:pPr>
      <w:r>
        <w:rPr>
          <w:b/>
          <w:bCs/>
        </w:rPr>
        <w:t xml:space="preserve">Capital deployment</w:t>
      </w:r>
      <w:r>
        <w:t xml:space="preserve"> </w:t>
      </w:r>
      <w:r>
        <w:t xml:space="preserve">— free cash flow trajectory toward the ~$21B full-year target and any BD/M&amp;A commentary (management has signaled a preference for early-stage "bolt-on" deals like Halda Therapeutics over large M&amp;A).</w:t>
      </w:r>
    </w:p>
    <w:bookmarkEnd w:id="16"/>
    <w:bookmarkStart w:id="17" w:name="bottom-line"/>
    <w:p>
      <w:pPr>
        <w:pStyle w:val="Heading2"/>
      </w:pPr>
      <w:r>
        <w:t xml:space="preserve">Bottom Line</w:t>
      </w:r>
    </w:p>
    <w:p>
      <w:pPr>
        <w:pStyle w:val="FirstParagraph"/>
      </w:pPr>
      <w:r>
        <w:t xml:space="preserve">JNJ heads into Q2 earnings as one of 2026's stronger large-cap healthcare performers, riding a "cleanest growth story in health care" narrative built on a deep, largely de-risked pipeline (ICOTYDE, INLEXZO, TREMFYA, RYBREVANT, plus cardiovascular MedTech assets Abiomed/Shockwave) offsetting the well-understood STELARA patent cliff. The bar has risen alongside the stock — a beat-and-raise similar to Q1's would likely be needed to sustain momentum toward record highs, while any sign of decelerating launch uptake, tariff-driven margin slippage, or softer MedTech end-market commentary could trigger profit-taking after a stock that's already up over 20% year-to-date.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2026-07-15T00:12:08Z</dcterms:created>
  <dcterms:modified xsi:type="dcterms:W3CDTF">2026-07-15T00:12:08Z</dcterms:modified>
</cp:coreProperties>
</file>

<file path=docProps/custom.xml><?xml version="1.0" encoding="utf-8"?>
<Properties xmlns="http://schemas.openxmlformats.org/officeDocument/2006/custom-properties" xmlns:vt="http://schemas.openxmlformats.org/officeDocument/2006/docPropsVTypes"/>
</file>