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jnj-earnings-predictions--2026-07-15"/>
    <w:p>
      <w:pPr>
        <w:pStyle w:val="Heading1"/>
      </w:pPr>
      <w:r>
        <w:t xml:space="preserve">JNJ Earnings Predictions — 2026-07-15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JNJ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~$25.34B vs. cons $25.03B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JNJ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~$2.90 vs. cons $2.86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JNJ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MedTech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~$8.94B vs. cons $8.90B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JNJ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Operational sales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~$100.6B vs. cons $100.5B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JNJ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Reported adjusted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~$11.62 vs. cons $11.58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JNJ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pretax operating-margin expansion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~+50 bps vs. cons +50 bps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JNJ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JNJ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+0.6% (FADE)</w:t>
            </w:r>
          </w:p>
        </w:tc>
        <w:tc>
          <w:tcPr/>
          <w:p>
            <w:pPr>
              <w:pStyle w:val="Compact"/>
            </w:pPr>
            <w:r>
              <w:t xml:space="preserve">5-day residual ~+0.6% vs. day-1 residual +1.4%: a modest beat and raise should lift estimates, but limited second-half EPS flow-through and some FX contribution to the sales raise imply only small out-period revisions, allowing the high-valuation initial reaction to partially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2026-07-15T00:12:28Z</dcterms:created>
  <dcterms:modified xsi:type="dcterms:W3CDTF">2026-07-15T00:12:28Z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